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C44EE" w14:textId="04D1C728" w:rsidR="00C21869" w:rsidRPr="00ED58A8" w:rsidRDefault="00ED58A8" w:rsidP="00ED58A8">
      <w:pPr>
        <w:spacing w:after="0" w:line="240" w:lineRule="auto"/>
        <w:rPr>
          <w:rFonts w:asciiTheme="minorHAnsi" w:hAnsiTheme="minorHAnsi" w:cstheme="minorHAnsi"/>
          <w:b/>
          <w:sz w:val="36"/>
          <w:szCs w:val="36"/>
        </w:rPr>
      </w:pPr>
      <w:r w:rsidRPr="00ED58A8">
        <w:rPr>
          <w:rFonts w:asciiTheme="minorHAnsi" w:hAnsiTheme="minorHAnsi" w:cstheme="minorHAnsi"/>
          <w:b/>
          <w:sz w:val="36"/>
          <w:szCs w:val="36"/>
        </w:rPr>
        <w:t>Disclosure Requirements</w:t>
      </w:r>
      <w:r w:rsidR="009F0B9B">
        <w:rPr>
          <w:rFonts w:asciiTheme="minorHAnsi" w:hAnsiTheme="minorHAnsi" w:cstheme="minorHAnsi"/>
          <w:b/>
          <w:sz w:val="36"/>
          <w:szCs w:val="36"/>
        </w:rPr>
        <w:t xml:space="preserve"> for Outside Professional Activities</w:t>
      </w:r>
    </w:p>
    <w:p w14:paraId="77274C10" w14:textId="77777777" w:rsidR="00ED58A8" w:rsidRDefault="00ED58A8" w:rsidP="0007192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B480DB8" w14:textId="57D77530" w:rsidR="00D027A4" w:rsidRPr="00ED58A8" w:rsidRDefault="007235B2" w:rsidP="00FE1724">
      <w:pPr>
        <w:rPr>
          <w:rFonts w:asciiTheme="minorHAnsi" w:hAnsiTheme="minorHAnsi" w:cstheme="minorHAnsi"/>
          <w:sz w:val="24"/>
          <w:szCs w:val="24"/>
        </w:rPr>
      </w:pPr>
      <w:r w:rsidRPr="007235B2">
        <w:rPr>
          <w:rFonts w:asciiTheme="minorHAnsi" w:hAnsiTheme="minorHAnsi" w:cstheme="minorHAnsi"/>
          <w:sz w:val="24"/>
          <w:szCs w:val="24"/>
        </w:rPr>
        <w:t xml:space="preserve">Outside professional activities are defined as </w:t>
      </w:r>
      <w:r w:rsidRPr="00DE13AE">
        <w:rPr>
          <w:rStyle w:val="markedcontent"/>
          <w:sz w:val="24"/>
          <w:szCs w:val="24"/>
        </w:rPr>
        <w:t>those activities that are within a faculty member’s area of professional, academic expertise and that advance or communicate that expertise through interaction with industry, the community, or the public.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D0737" w:rsidRPr="00ED58A8">
        <w:rPr>
          <w:rFonts w:asciiTheme="minorHAnsi" w:hAnsiTheme="minorHAnsi" w:cstheme="minorHAnsi"/>
          <w:sz w:val="24"/>
          <w:szCs w:val="24"/>
        </w:rPr>
        <w:t xml:space="preserve">In accordance with the </w:t>
      </w:r>
      <w:r w:rsidR="00ED58A8">
        <w:rPr>
          <w:rFonts w:asciiTheme="minorHAnsi" w:hAnsiTheme="minorHAnsi" w:cstheme="minorHAnsi"/>
          <w:sz w:val="24"/>
          <w:szCs w:val="24"/>
        </w:rPr>
        <w:t>Health Sciences</w:t>
      </w:r>
      <w:r w:rsidR="00CD0737" w:rsidRPr="00ED58A8">
        <w:rPr>
          <w:rFonts w:asciiTheme="minorHAnsi" w:hAnsiTheme="minorHAnsi" w:cstheme="minorHAnsi"/>
          <w:sz w:val="24"/>
          <w:szCs w:val="24"/>
        </w:rPr>
        <w:t xml:space="preserve"> </w:t>
      </w:r>
      <w:r w:rsidR="00FE1724" w:rsidRPr="00ED58A8">
        <w:rPr>
          <w:rFonts w:asciiTheme="minorHAnsi" w:hAnsiTheme="minorHAnsi" w:cstheme="minorHAnsi"/>
          <w:sz w:val="24"/>
          <w:szCs w:val="24"/>
        </w:rPr>
        <w:t>Compensation</w:t>
      </w:r>
      <w:r w:rsidR="00CD0737" w:rsidRPr="00ED58A8">
        <w:rPr>
          <w:rFonts w:asciiTheme="minorHAnsi" w:hAnsiTheme="minorHAnsi" w:cstheme="minorHAnsi"/>
          <w:sz w:val="24"/>
          <w:szCs w:val="24"/>
        </w:rPr>
        <w:t xml:space="preserve"> Plan</w:t>
      </w:r>
      <w:r w:rsidR="00ED58A8">
        <w:rPr>
          <w:rFonts w:asciiTheme="minorHAnsi" w:hAnsiTheme="minorHAnsi" w:cstheme="minorHAnsi"/>
          <w:sz w:val="24"/>
          <w:szCs w:val="24"/>
        </w:rPr>
        <w:t>(Plan)</w:t>
      </w:r>
      <w:r w:rsidR="00CD0737" w:rsidRPr="00ED58A8">
        <w:rPr>
          <w:rFonts w:asciiTheme="minorHAnsi" w:hAnsiTheme="minorHAnsi" w:cstheme="minorHAnsi"/>
          <w:sz w:val="24"/>
          <w:szCs w:val="24"/>
        </w:rPr>
        <w:t xml:space="preserve">, </w:t>
      </w:r>
      <w:r w:rsidR="00AB12E5">
        <w:rPr>
          <w:rFonts w:asciiTheme="minorHAnsi" w:hAnsiTheme="minorHAnsi" w:cstheme="minorHAnsi"/>
          <w:sz w:val="24"/>
          <w:szCs w:val="24"/>
        </w:rPr>
        <w:t xml:space="preserve">every </w:t>
      </w:r>
      <w:r w:rsidR="00C21869">
        <w:rPr>
          <w:rFonts w:asciiTheme="minorHAnsi" w:hAnsiTheme="minorHAnsi" w:cstheme="minorHAnsi"/>
          <w:sz w:val="24"/>
          <w:szCs w:val="24"/>
        </w:rPr>
        <w:t xml:space="preserve">member of the </w:t>
      </w:r>
      <w:r w:rsidR="00AB12E5">
        <w:rPr>
          <w:rFonts w:asciiTheme="minorHAnsi" w:hAnsiTheme="minorHAnsi" w:cstheme="minorHAnsi"/>
          <w:sz w:val="24"/>
          <w:szCs w:val="24"/>
        </w:rPr>
        <w:t xml:space="preserve">Compensation </w:t>
      </w:r>
      <w:r w:rsidR="00C21869">
        <w:rPr>
          <w:rFonts w:asciiTheme="minorHAnsi" w:hAnsiTheme="minorHAnsi" w:cstheme="minorHAnsi"/>
          <w:sz w:val="24"/>
          <w:szCs w:val="24"/>
        </w:rPr>
        <w:t xml:space="preserve">Plan </w:t>
      </w:r>
      <w:r w:rsidR="00AB12E5">
        <w:rPr>
          <w:rFonts w:asciiTheme="minorHAnsi" w:hAnsiTheme="minorHAnsi" w:cstheme="minorHAnsi"/>
          <w:sz w:val="24"/>
          <w:szCs w:val="24"/>
        </w:rPr>
        <w:t xml:space="preserve">(“Plan Participant”) </w:t>
      </w:r>
      <w:r w:rsidR="00C21869">
        <w:rPr>
          <w:rFonts w:asciiTheme="minorHAnsi" w:hAnsiTheme="minorHAnsi" w:cstheme="minorHAnsi"/>
          <w:sz w:val="24"/>
          <w:szCs w:val="24"/>
        </w:rPr>
        <w:t xml:space="preserve">must </w:t>
      </w:r>
      <w:r w:rsidR="00AB12E5">
        <w:rPr>
          <w:rFonts w:asciiTheme="minorHAnsi" w:hAnsiTheme="minorHAnsi" w:cstheme="minorHAnsi"/>
          <w:sz w:val="24"/>
          <w:szCs w:val="24"/>
        </w:rPr>
        <w:t xml:space="preserve">report </w:t>
      </w:r>
      <w:r>
        <w:rPr>
          <w:rFonts w:asciiTheme="minorHAnsi" w:hAnsiTheme="minorHAnsi" w:cstheme="minorHAnsi"/>
          <w:sz w:val="24"/>
          <w:szCs w:val="24"/>
        </w:rPr>
        <w:t xml:space="preserve">annually </w:t>
      </w:r>
      <w:r w:rsidR="00AB12E5">
        <w:rPr>
          <w:rFonts w:asciiTheme="minorHAnsi" w:hAnsiTheme="minorHAnsi" w:cstheme="minorHAnsi"/>
          <w:sz w:val="24"/>
          <w:szCs w:val="24"/>
        </w:rPr>
        <w:t xml:space="preserve">the amount of time dedicated to </w:t>
      </w:r>
      <w:r w:rsidR="00C21869">
        <w:rPr>
          <w:rFonts w:asciiTheme="minorHAnsi" w:hAnsiTheme="minorHAnsi" w:cstheme="minorHAnsi"/>
          <w:sz w:val="24"/>
          <w:szCs w:val="24"/>
        </w:rPr>
        <w:t xml:space="preserve">and all compensation received for outside professional activities. </w:t>
      </w:r>
      <w:r w:rsidR="00AB12E5">
        <w:rPr>
          <w:rFonts w:asciiTheme="minorHAnsi" w:hAnsiTheme="minorHAnsi" w:cstheme="minorHAnsi"/>
          <w:sz w:val="24"/>
          <w:szCs w:val="24"/>
        </w:rPr>
        <w:t xml:space="preserve">The compensation for outside activities </w:t>
      </w:r>
      <w:r w:rsidR="00C21869">
        <w:rPr>
          <w:rFonts w:asciiTheme="minorHAnsi" w:hAnsiTheme="minorHAnsi" w:cstheme="minorHAnsi"/>
          <w:sz w:val="24"/>
          <w:szCs w:val="24"/>
        </w:rPr>
        <w:t>includes both cash and non-cash compensation</w:t>
      </w:r>
      <w:r w:rsidR="00ED58A8">
        <w:rPr>
          <w:rFonts w:asciiTheme="minorHAnsi" w:hAnsiTheme="minorHAnsi" w:cstheme="minorHAnsi"/>
          <w:sz w:val="24"/>
          <w:szCs w:val="24"/>
        </w:rPr>
        <w:t xml:space="preserve"> (stock, stock options</w:t>
      </w:r>
      <w:r w:rsidR="00710F73">
        <w:rPr>
          <w:rFonts w:asciiTheme="minorHAnsi" w:hAnsiTheme="minorHAnsi" w:cstheme="minorHAnsi"/>
          <w:sz w:val="24"/>
          <w:szCs w:val="24"/>
        </w:rPr>
        <w:t>, founder’s stock,</w:t>
      </w:r>
      <w:r w:rsidR="00ED58A8">
        <w:rPr>
          <w:rFonts w:asciiTheme="minorHAnsi" w:hAnsiTheme="minorHAnsi" w:cstheme="minorHAnsi"/>
          <w:sz w:val="24"/>
          <w:szCs w:val="24"/>
        </w:rPr>
        <w:t xml:space="preserve"> and other equity positions</w:t>
      </w:r>
      <w:r w:rsidR="00710F73">
        <w:rPr>
          <w:rFonts w:asciiTheme="minorHAnsi" w:hAnsiTheme="minorHAnsi" w:cstheme="minorHAnsi"/>
          <w:sz w:val="24"/>
          <w:szCs w:val="24"/>
        </w:rPr>
        <w:t>)</w:t>
      </w:r>
      <w:r w:rsidR="00CD0737" w:rsidRPr="00ED58A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178E7F8" w14:textId="7FB7A8BF" w:rsidR="009F0B9B" w:rsidRPr="0007192B" w:rsidRDefault="009F0B9B" w:rsidP="009169A1">
      <w:pPr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07192B">
        <w:rPr>
          <w:rFonts w:asciiTheme="minorHAnsi" w:hAnsiTheme="minorHAnsi" w:cstheme="minorHAnsi"/>
          <w:b/>
          <w:bCs/>
          <w:i/>
          <w:iCs/>
          <w:sz w:val="24"/>
          <w:szCs w:val="24"/>
        </w:rPr>
        <w:t>Disclosure</w:t>
      </w:r>
      <w:r w:rsidR="009169A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requirements: R</w:t>
      </w:r>
      <w:r w:rsidRPr="0007192B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oles and responsibilities </w:t>
      </w:r>
      <w:r w:rsidR="00AB12E5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related to </w:t>
      </w:r>
      <w:r w:rsidRPr="0007192B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outside </w:t>
      </w:r>
      <w:r w:rsidR="007235B2">
        <w:rPr>
          <w:rFonts w:asciiTheme="minorHAnsi" w:hAnsiTheme="minorHAnsi" w:cstheme="minorHAnsi"/>
          <w:b/>
          <w:bCs/>
          <w:i/>
          <w:iCs/>
          <w:sz w:val="24"/>
          <w:szCs w:val="24"/>
        </w:rPr>
        <w:t>entities</w:t>
      </w:r>
    </w:p>
    <w:p w14:paraId="269799F0" w14:textId="05D1B44E" w:rsidR="009F0B9B" w:rsidRDefault="00827370" w:rsidP="00FE172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Each year, a</w:t>
      </w:r>
      <w:r w:rsidR="009F0B9B">
        <w:rPr>
          <w:rFonts w:asciiTheme="minorHAnsi" w:hAnsiTheme="minorHAnsi" w:cstheme="minorHAnsi"/>
          <w:sz w:val="24"/>
          <w:szCs w:val="24"/>
        </w:rPr>
        <w:t xml:space="preserve">ll </w:t>
      </w:r>
      <w:r w:rsidR="00AB12E5">
        <w:rPr>
          <w:rFonts w:asciiTheme="minorHAnsi" w:hAnsiTheme="minorHAnsi" w:cstheme="minorHAnsi"/>
          <w:sz w:val="24"/>
          <w:szCs w:val="24"/>
        </w:rPr>
        <w:t xml:space="preserve">Plan Participants </w:t>
      </w:r>
      <w:r w:rsidR="009F0B9B">
        <w:rPr>
          <w:rFonts w:asciiTheme="minorHAnsi" w:hAnsiTheme="minorHAnsi" w:cstheme="minorHAnsi"/>
          <w:sz w:val="24"/>
          <w:szCs w:val="24"/>
        </w:rPr>
        <w:t xml:space="preserve">are required to disclose their roles with outside </w:t>
      </w:r>
      <w:r w:rsidR="009169A1">
        <w:rPr>
          <w:rFonts w:asciiTheme="minorHAnsi" w:hAnsiTheme="minorHAnsi" w:cstheme="minorHAnsi"/>
          <w:sz w:val="24"/>
          <w:szCs w:val="24"/>
        </w:rPr>
        <w:t xml:space="preserve">entities and </w:t>
      </w:r>
      <w:r w:rsidR="009F0B9B">
        <w:rPr>
          <w:rFonts w:asciiTheme="minorHAnsi" w:hAnsiTheme="minorHAnsi" w:cstheme="minorHAnsi"/>
          <w:sz w:val="24"/>
          <w:szCs w:val="24"/>
        </w:rPr>
        <w:t xml:space="preserve">organizations. </w:t>
      </w:r>
      <w:r w:rsidR="007235B2">
        <w:rPr>
          <w:rFonts w:asciiTheme="minorHAnsi" w:hAnsiTheme="minorHAnsi" w:cstheme="minorHAnsi"/>
          <w:sz w:val="24"/>
          <w:szCs w:val="24"/>
        </w:rPr>
        <w:t xml:space="preserve">The Health Sciences </w:t>
      </w:r>
      <w:r w:rsidR="00DE13AE">
        <w:rPr>
          <w:rFonts w:asciiTheme="minorHAnsi" w:hAnsiTheme="minorHAnsi" w:cstheme="minorHAnsi"/>
          <w:sz w:val="24"/>
          <w:szCs w:val="24"/>
        </w:rPr>
        <w:t>Compensation</w:t>
      </w:r>
      <w:r w:rsidR="007235B2">
        <w:rPr>
          <w:rFonts w:asciiTheme="minorHAnsi" w:hAnsiTheme="minorHAnsi" w:cstheme="minorHAnsi"/>
          <w:sz w:val="24"/>
          <w:szCs w:val="24"/>
        </w:rPr>
        <w:t xml:space="preserve"> Plan (APM 671) </w:t>
      </w:r>
      <w:r w:rsidR="00B64A6F">
        <w:rPr>
          <w:rFonts w:asciiTheme="minorHAnsi" w:hAnsiTheme="minorHAnsi" w:cstheme="minorHAnsi"/>
          <w:sz w:val="24"/>
          <w:szCs w:val="24"/>
        </w:rPr>
        <w:t xml:space="preserve">defines </w:t>
      </w:r>
      <w:r w:rsidR="007235B2">
        <w:rPr>
          <w:rFonts w:asciiTheme="minorHAnsi" w:hAnsiTheme="minorHAnsi" w:cstheme="minorHAnsi"/>
          <w:sz w:val="24"/>
          <w:szCs w:val="24"/>
        </w:rPr>
        <w:t xml:space="preserve">three categories of </w:t>
      </w:r>
      <w:r w:rsidR="00DE13AE">
        <w:rPr>
          <w:rFonts w:asciiTheme="minorHAnsi" w:hAnsiTheme="minorHAnsi" w:cstheme="minorHAnsi"/>
          <w:sz w:val="24"/>
          <w:szCs w:val="24"/>
        </w:rPr>
        <w:t>outside</w:t>
      </w:r>
      <w:r w:rsidR="007235B2">
        <w:rPr>
          <w:rFonts w:asciiTheme="minorHAnsi" w:hAnsiTheme="minorHAnsi" w:cstheme="minorHAnsi"/>
          <w:sz w:val="24"/>
          <w:szCs w:val="24"/>
        </w:rPr>
        <w:t xml:space="preserve"> professional activities, I,II and III.  </w:t>
      </w:r>
      <w:r w:rsidR="009169A1">
        <w:rPr>
          <w:rFonts w:asciiTheme="minorHAnsi" w:hAnsiTheme="minorHAnsi" w:cstheme="minorHAnsi"/>
          <w:sz w:val="24"/>
          <w:szCs w:val="24"/>
        </w:rPr>
        <w:t>A</w:t>
      </w:r>
      <w:r w:rsidR="00AB12E5">
        <w:rPr>
          <w:rFonts w:asciiTheme="minorHAnsi" w:hAnsiTheme="minorHAnsi" w:cstheme="minorHAnsi"/>
          <w:sz w:val="24"/>
          <w:szCs w:val="24"/>
        </w:rPr>
        <w:t>ll</w:t>
      </w:r>
      <w:r w:rsidR="009F0B9B">
        <w:rPr>
          <w:rFonts w:asciiTheme="minorHAnsi" w:hAnsiTheme="minorHAnsi" w:cstheme="minorHAnsi"/>
          <w:sz w:val="24"/>
          <w:szCs w:val="24"/>
        </w:rPr>
        <w:t xml:space="preserve"> C</w:t>
      </w:r>
      <w:r w:rsidR="008A43B4">
        <w:rPr>
          <w:rFonts w:asciiTheme="minorHAnsi" w:hAnsiTheme="minorHAnsi" w:cstheme="minorHAnsi"/>
          <w:sz w:val="24"/>
          <w:szCs w:val="24"/>
        </w:rPr>
        <w:t xml:space="preserve">ategory I and II </w:t>
      </w:r>
      <w:r w:rsidR="007235B2">
        <w:rPr>
          <w:rFonts w:asciiTheme="minorHAnsi" w:hAnsiTheme="minorHAnsi" w:cstheme="minorHAnsi"/>
          <w:sz w:val="24"/>
          <w:szCs w:val="24"/>
        </w:rPr>
        <w:t>activities</w:t>
      </w:r>
      <w:r w:rsidR="008A43B4">
        <w:rPr>
          <w:rFonts w:asciiTheme="minorHAnsi" w:hAnsiTheme="minorHAnsi" w:cstheme="minorHAnsi"/>
          <w:sz w:val="24"/>
          <w:szCs w:val="24"/>
        </w:rPr>
        <w:t xml:space="preserve"> </w:t>
      </w:r>
      <w:r w:rsidR="007235B2">
        <w:rPr>
          <w:rFonts w:asciiTheme="minorHAnsi" w:hAnsiTheme="minorHAnsi" w:cstheme="minorHAnsi"/>
          <w:sz w:val="24"/>
          <w:szCs w:val="24"/>
        </w:rPr>
        <w:t xml:space="preserve">(which includes </w:t>
      </w:r>
      <w:r w:rsidR="008A43B4">
        <w:rPr>
          <w:rFonts w:asciiTheme="minorHAnsi" w:hAnsiTheme="minorHAnsi" w:cstheme="minorHAnsi"/>
          <w:sz w:val="24"/>
          <w:szCs w:val="24"/>
        </w:rPr>
        <w:t>c</w:t>
      </w:r>
      <w:r w:rsidR="009F0B9B">
        <w:rPr>
          <w:rFonts w:asciiTheme="minorHAnsi" w:hAnsiTheme="minorHAnsi" w:cstheme="minorHAnsi"/>
          <w:sz w:val="24"/>
          <w:szCs w:val="24"/>
        </w:rPr>
        <w:t>onsulting activities</w:t>
      </w:r>
      <w:r w:rsidR="007235B2">
        <w:rPr>
          <w:rFonts w:asciiTheme="minorHAnsi" w:hAnsiTheme="minorHAnsi" w:cstheme="minorHAnsi"/>
          <w:sz w:val="24"/>
          <w:szCs w:val="24"/>
        </w:rPr>
        <w:t>)</w:t>
      </w:r>
      <w:r w:rsidR="009F0B9B">
        <w:rPr>
          <w:rFonts w:asciiTheme="minorHAnsi" w:hAnsiTheme="minorHAnsi" w:cstheme="minorHAnsi"/>
          <w:sz w:val="24"/>
          <w:szCs w:val="24"/>
        </w:rPr>
        <w:t xml:space="preserve"> must be disclosed in OATS</w:t>
      </w:r>
      <w:r w:rsidR="00AB12E5">
        <w:rPr>
          <w:rFonts w:asciiTheme="minorHAnsi" w:hAnsiTheme="minorHAnsi" w:cstheme="minorHAnsi"/>
          <w:sz w:val="24"/>
          <w:szCs w:val="24"/>
        </w:rPr>
        <w:t xml:space="preserve"> and</w:t>
      </w:r>
      <w:r w:rsidR="00B64A6F">
        <w:rPr>
          <w:rFonts w:asciiTheme="minorHAnsi" w:hAnsiTheme="minorHAnsi" w:cstheme="minorHAnsi"/>
          <w:sz w:val="24"/>
          <w:szCs w:val="24"/>
        </w:rPr>
        <w:t>,</w:t>
      </w:r>
      <w:r w:rsidR="00AB12E5">
        <w:rPr>
          <w:rFonts w:asciiTheme="minorHAnsi" w:hAnsiTheme="minorHAnsi" w:cstheme="minorHAnsi"/>
          <w:sz w:val="24"/>
          <w:szCs w:val="24"/>
        </w:rPr>
        <w:t xml:space="preserve"> </w:t>
      </w:r>
      <w:r w:rsidR="007235B2">
        <w:rPr>
          <w:rFonts w:asciiTheme="minorHAnsi" w:hAnsiTheme="minorHAnsi" w:cstheme="minorHAnsi"/>
          <w:sz w:val="24"/>
          <w:szCs w:val="24"/>
        </w:rPr>
        <w:t>in some cases</w:t>
      </w:r>
      <w:r w:rsidR="00B64A6F">
        <w:rPr>
          <w:rFonts w:asciiTheme="minorHAnsi" w:hAnsiTheme="minorHAnsi" w:cstheme="minorHAnsi"/>
          <w:sz w:val="24"/>
          <w:szCs w:val="24"/>
        </w:rPr>
        <w:t>,</w:t>
      </w:r>
      <w:r w:rsidR="00AB12E5">
        <w:rPr>
          <w:rFonts w:asciiTheme="minorHAnsi" w:hAnsiTheme="minorHAnsi" w:cstheme="minorHAnsi"/>
          <w:sz w:val="24"/>
          <w:szCs w:val="24"/>
        </w:rPr>
        <w:t xml:space="preserve"> require pre-approval</w:t>
      </w:r>
      <w:r w:rsidR="009F0B9B">
        <w:rPr>
          <w:rFonts w:asciiTheme="minorHAnsi" w:hAnsiTheme="minorHAnsi" w:cstheme="minorHAnsi"/>
          <w:sz w:val="24"/>
          <w:szCs w:val="24"/>
        </w:rPr>
        <w:t>.</w:t>
      </w:r>
    </w:p>
    <w:p w14:paraId="170E14D0" w14:textId="12413972" w:rsidR="007235B2" w:rsidRDefault="007235B2" w:rsidP="00FE1724">
      <w:pPr>
        <w:rPr>
          <w:rFonts w:asciiTheme="minorHAnsi" w:hAnsiTheme="minorHAnsi" w:cstheme="minorHAnsi"/>
          <w:sz w:val="24"/>
          <w:szCs w:val="24"/>
        </w:rPr>
      </w:pPr>
    </w:p>
    <w:p w14:paraId="6B4581A2" w14:textId="44838CAB" w:rsidR="007235B2" w:rsidRDefault="007235B2" w:rsidP="00FE172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Category I Activities</w:t>
      </w:r>
    </w:p>
    <w:p w14:paraId="7F477419" w14:textId="58FEB4DB" w:rsidR="009F0B9B" w:rsidRDefault="009F0B9B" w:rsidP="00FE172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Any </w:t>
      </w:r>
      <w:r w:rsidR="00AB12E5">
        <w:rPr>
          <w:rFonts w:asciiTheme="minorHAnsi" w:hAnsiTheme="minorHAnsi" w:cstheme="minorHAnsi"/>
          <w:sz w:val="24"/>
          <w:szCs w:val="24"/>
        </w:rPr>
        <w:t xml:space="preserve">Plan Participant </w:t>
      </w:r>
      <w:r>
        <w:rPr>
          <w:rFonts w:asciiTheme="minorHAnsi" w:hAnsiTheme="minorHAnsi" w:cstheme="minorHAnsi"/>
          <w:sz w:val="24"/>
          <w:szCs w:val="24"/>
        </w:rPr>
        <w:t xml:space="preserve">who serves as a founder for an outside </w:t>
      </w:r>
      <w:r w:rsidR="00AB12E5">
        <w:rPr>
          <w:rFonts w:asciiTheme="minorHAnsi" w:hAnsiTheme="minorHAnsi" w:cstheme="minorHAnsi"/>
          <w:sz w:val="24"/>
          <w:szCs w:val="24"/>
        </w:rPr>
        <w:t xml:space="preserve">entity </w:t>
      </w:r>
      <w:r>
        <w:rPr>
          <w:rFonts w:asciiTheme="minorHAnsi" w:hAnsiTheme="minorHAnsi" w:cstheme="minorHAnsi"/>
          <w:sz w:val="24"/>
          <w:szCs w:val="24"/>
        </w:rPr>
        <w:t xml:space="preserve">must </w:t>
      </w:r>
      <w:r w:rsidR="00AB12E5">
        <w:rPr>
          <w:rFonts w:asciiTheme="minorHAnsi" w:hAnsiTheme="minorHAnsi" w:cstheme="minorHAnsi"/>
          <w:sz w:val="24"/>
          <w:szCs w:val="24"/>
        </w:rPr>
        <w:t xml:space="preserve">request pre-approval for this Category I role and must </w:t>
      </w:r>
      <w:r w:rsidR="00827370">
        <w:rPr>
          <w:rFonts w:asciiTheme="minorHAnsi" w:hAnsiTheme="minorHAnsi" w:cstheme="minorHAnsi"/>
          <w:sz w:val="24"/>
          <w:szCs w:val="24"/>
        </w:rPr>
        <w:t xml:space="preserve">renew approval </w:t>
      </w:r>
      <w:r w:rsidR="00AB12E5">
        <w:rPr>
          <w:rFonts w:asciiTheme="minorHAnsi" w:hAnsiTheme="minorHAnsi" w:cstheme="minorHAnsi"/>
          <w:sz w:val="24"/>
          <w:szCs w:val="24"/>
        </w:rPr>
        <w:t>every year</w:t>
      </w:r>
      <w:r>
        <w:rPr>
          <w:rFonts w:asciiTheme="minorHAnsi" w:hAnsiTheme="minorHAnsi" w:cstheme="minorHAnsi"/>
          <w:sz w:val="24"/>
          <w:szCs w:val="24"/>
        </w:rPr>
        <w:t>. The request</w:t>
      </w:r>
      <w:r w:rsidR="00B64A6F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for approval </w:t>
      </w:r>
      <w:r w:rsidR="00AB12E5">
        <w:rPr>
          <w:rFonts w:asciiTheme="minorHAnsi" w:hAnsiTheme="minorHAnsi" w:cstheme="minorHAnsi"/>
          <w:sz w:val="24"/>
          <w:szCs w:val="24"/>
        </w:rPr>
        <w:t xml:space="preserve">and renewal </w:t>
      </w:r>
      <w:r w:rsidR="007235B2">
        <w:rPr>
          <w:rFonts w:asciiTheme="minorHAnsi" w:hAnsiTheme="minorHAnsi" w:cstheme="minorHAnsi"/>
          <w:sz w:val="24"/>
          <w:szCs w:val="24"/>
        </w:rPr>
        <w:t>must</w:t>
      </w:r>
      <w:r w:rsidR="00AB12E5">
        <w:rPr>
          <w:rFonts w:asciiTheme="minorHAnsi" w:hAnsiTheme="minorHAnsi" w:cstheme="minorHAnsi"/>
          <w:sz w:val="24"/>
          <w:szCs w:val="24"/>
        </w:rPr>
        <w:t xml:space="preserve"> be </w:t>
      </w:r>
      <w:r>
        <w:rPr>
          <w:rFonts w:asciiTheme="minorHAnsi" w:hAnsiTheme="minorHAnsi" w:cstheme="minorHAnsi"/>
          <w:sz w:val="24"/>
          <w:szCs w:val="24"/>
        </w:rPr>
        <w:t>submitted in OATS.</w:t>
      </w:r>
    </w:p>
    <w:p w14:paraId="5D247EE5" w14:textId="76D9CCD2" w:rsidR="009F0B9B" w:rsidRDefault="009F0B9B" w:rsidP="00FE172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Plan </w:t>
      </w:r>
      <w:r w:rsidR="00AB12E5">
        <w:rPr>
          <w:rFonts w:asciiTheme="minorHAnsi" w:hAnsiTheme="minorHAnsi" w:cstheme="minorHAnsi"/>
          <w:sz w:val="24"/>
          <w:szCs w:val="24"/>
        </w:rPr>
        <w:t xml:space="preserve">Participants </w:t>
      </w:r>
      <w:r w:rsidR="00827370">
        <w:rPr>
          <w:rFonts w:asciiTheme="minorHAnsi" w:hAnsiTheme="minorHAnsi" w:cstheme="minorHAnsi"/>
          <w:sz w:val="24"/>
          <w:szCs w:val="24"/>
        </w:rPr>
        <w:t>may</w:t>
      </w:r>
      <w:r w:rsidR="009169A1">
        <w:rPr>
          <w:rFonts w:asciiTheme="minorHAnsi" w:hAnsiTheme="minorHAnsi" w:cstheme="minorHAnsi"/>
          <w:sz w:val="24"/>
          <w:szCs w:val="24"/>
        </w:rPr>
        <w:t xml:space="preserve"> not</w:t>
      </w:r>
      <w:r w:rsidR="0082737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be employed by an outside organization </w:t>
      </w:r>
      <w:r w:rsidR="00AB12E5">
        <w:rPr>
          <w:rFonts w:asciiTheme="minorHAnsi" w:hAnsiTheme="minorHAnsi" w:cstheme="minorHAnsi"/>
          <w:sz w:val="24"/>
          <w:szCs w:val="24"/>
        </w:rPr>
        <w:t>n</w:t>
      </w:r>
      <w:r>
        <w:rPr>
          <w:rFonts w:asciiTheme="minorHAnsi" w:hAnsiTheme="minorHAnsi" w:cstheme="minorHAnsi"/>
          <w:sz w:val="24"/>
          <w:szCs w:val="24"/>
        </w:rPr>
        <w:t xml:space="preserve">or serve in a management role for an outside </w:t>
      </w:r>
      <w:r w:rsidR="00AB12E5">
        <w:rPr>
          <w:rFonts w:asciiTheme="minorHAnsi" w:hAnsiTheme="minorHAnsi" w:cstheme="minorHAnsi"/>
          <w:sz w:val="24"/>
          <w:szCs w:val="24"/>
        </w:rPr>
        <w:t xml:space="preserve">entity </w:t>
      </w:r>
      <w:r w:rsidR="008A43B4">
        <w:rPr>
          <w:rFonts w:asciiTheme="minorHAnsi" w:hAnsiTheme="minorHAnsi" w:cstheme="minorHAnsi"/>
          <w:sz w:val="24"/>
          <w:szCs w:val="24"/>
        </w:rPr>
        <w:t xml:space="preserve">without </w:t>
      </w:r>
      <w:r w:rsidR="00AB12E5">
        <w:rPr>
          <w:rFonts w:asciiTheme="minorHAnsi" w:hAnsiTheme="minorHAnsi" w:cstheme="minorHAnsi"/>
          <w:sz w:val="24"/>
          <w:szCs w:val="24"/>
        </w:rPr>
        <w:t>pre-approval of these C</w:t>
      </w:r>
      <w:r w:rsidR="008A43B4">
        <w:rPr>
          <w:rFonts w:asciiTheme="minorHAnsi" w:hAnsiTheme="minorHAnsi" w:cstheme="minorHAnsi"/>
          <w:sz w:val="24"/>
          <w:szCs w:val="24"/>
        </w:rPr>
        <w:t xml:space="preserve">ategory I </w:t>
      </w:r>
      <w:r w:rsidR="00AB12E5">
        <w:rPr>
          <w:rFonts w:asciiTheme="minorHAnsi" w:hAnsiTheme="minorHAnsi" w:cstheme="minorHAnsi"/>
          <w:sz w:val="24"/>
          <w:szCs w:val="24"/>
        </w:rPr>
        <w:t>roles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AB12E5">
        <w:rPr>
          <w:rFonts w:asciiTheme="minorHAnsi" w:hAnsiTheme="minorHAnsi" w:cstheme="minorHAnsi"/>
          <w:sz w:val="24"/>
          <w:szCs w:val="24"/>
        </w:rPr>
        <w:t xml:space="preserve">A Compensation Plan Participant </w:t>
      </w:r>
      <w:r w:rsidR="008A43B4">
        <w:rPr>
          <w:rFonts w:asciiTheme="minorHAnsi" w:hAnsiTheme="minorHAnsi" w:cstheme="minorHAnsi"/>
          <w:sz w:val="24"/>
          <w:szCs w:val="24"/>
        </w:rPr>
        <w:t xml:space="preserve">may </w:t>
      </w:r>
      <w:r>
        <w:rPr>
          <w:rFonts w:asciiTheme="minorHAnsi" w:hAnsiTheme="minorHAnsi" w:cstheme="minorHAnsi"/>
          <w:sz w:val="24"/>
          <w:szCs w:val="24"/>
        </w:rPr>
        <w:t xml:space="preserve">request approval to serve in a management role for a </w:t>
      </w:r>
      <w:r w:rsidR="00AB12E5">
        <w:rPr>
          <w:rFonts w:asciiTheme="minorHAnsi" w:hAnsiTheme="minorHAnsi" w:cstheme="minorHAnsi"/>
          <w:sz w:val="24"/>
          <w:szCs w:val="24"/>
        </w:rPr>
        <w:t xml:space="preserve">defined </w:t>
      </w:r>
      <w:r>
        <w:rPr>
          <w:rFonts w:asciiTheme="minorHAnsi" w:hAnsiTheme="minorHAnsi" w:cstheme="minorHAnsi"/>
          <w:sz w:val="24"/>
          <w:szCs w:val="24"/>
        </w:rPr>
        <w:t>period of time</w:t>
      </w:r>
      <w:r w:rsidR="00AB12E5">
        <w:rPr>
          <w:rFonts w:asciiTheme="minorHAnsi" w:hAnsiTheme="minorHAnsi" w:cstheme="minorHAnsi"/>
          <w:sz w:val="24"/>
          <w:szCs w:val="24"/>
        </w:rPr>
        <w:t xml:space="preserve">, typically </w:t>
      </w:r>
      <w:r w:rsidR="00827370">
        <w:rPr>
          <w:rFonts w:asciiTheme="minorHAnsi" w:hAnsiTheme="minorHAnsi" w:cstheme="minorHAnsi"/>
          <w:sz w:val="24"/>
          <w:szCs w:val="24"/>
        </w:rPr>
        <w:t xml:space="preserve">during the period </w:t>
      </w:r>
      <w:r w:rsidR="00AB12E5">
        <w:rPr>
          <w:rFonts w:asciiTheme="minorHAnsi" w:hAnsiTheme="minorHAnsi" w:cstheme="minorHAnsi"/>
          <w:sz w:val="24"/>
          <w:szCs w:val="24"/>
        </w:rPr>
        <w:t xml:space="preserve">when </w:t>
      </w:r>
      <w:r>
        <w:rPr>
          <w:rFonts w:asciiTheme="minorHAnsi" w:hAnsiTheme="minorHAnsi" w:cstheme="minorHAnsi"/>
          <w:sz w:val="24"/>
          <w:szCs w:val="24"/>
        </w:rPr>
        <w:t xml:space="preserve">a new company is recruiting a management team.  </w:t>
      </w:r>
      <w:r w:rsidR="00AB12E5">
        <w:rPr>
          <w:rFonts w:asciiTheme="minorHAnsi" w:hAnsiTheme="minorHAnsi" w:cstheme="minorHAnsi"/>
          <w:sz w:val="24"/>
          <w:szCs w:val="24"/>
        </w:rPr>
        <w:t>All r</w:t>
      </w:r>
      <w:r>
        <w:rPr>
          <w:rFonts w:asciiTheme="minorHAnsi" w:hAnsiTheme="minorHAnsi" w:cstheme="minorHAnsi"/>
          <w:sz w:val="24"/>
          <w:szCs w:val="24"/>
        </w:rPr>
        <w:t xml:space="preserve">equests for </w:t>
      </w:r>
      <w:r w:rsidR="00AB12E5">
        <w:rPr>
          <w:rFonts w:asciiTheme="minorHAnsi" w:hAnsiTheme="minorHAnsi" w:cstheme="minorHAnsi"/>
          <w:sz w:val="24"/>
          <w:szCs w:val="24"/>
        </w:rPr>
        <w:t>C</w:t>
      </w:r>
      <w:r w:rsidR="008A43B4">
        <w:rPr>
          <w:rFonts w:asciiTheme="minorHAnsi" w:hAnsiTheme="minorHAnsi" w:cstheme="minorHAnsi"/>
          <w:sz w:val="24"/>
          <w:szCs w:val="24"/>
        </w:rPr>
        <w:t xml:space="preserve">ategory I </w:t>
      </w:r>
      <w:r>
        <w:rPr>
          <w:rFonts w:asciiTheme="minorHAnsi" w:hAnsiTheme="minorHAnsi" w:cstheme="minorHAnsi"/>
          <w:sz w:val="24"/>
          <w:szCs w:val="24"/>
        </w:rPr>
        <w:t xml:space="preserve">approval </w:t>
      </w:r>
      <w:r w:rsidR="008A43B4">
        <w:rPr>
          <w:rFonts w:asciiTheme="minorHAnsi" w:hAnsiTheme="minorHAnsi" w:cstheme="minorHAnsi"/>
          <w:sz w:val="24"/>
          <w:szCs w:val="24"/>
        </w:rPr>
        <w:t xml:space="preserve">should be </w:t>
      </w:r>
      <w:r>
        <w:rPr>
          <w:rFonts w:asciiTheme="minorHAnsi" w:hAnsiTheme="minorHAnsi" w:cstheme="minorHAnsi"/>
          <w:sz w:val="24"/>
          <w:szCs w:val="24"/>
        </w:rPr>
        <w:t>submitted in OATS.</w:t>
      </w:r>
    </w:p>
    <w:p w14:paraId="3409DF15" w14:textId="76B6C883" w:rsidR="007235B2" w:rsidRDefault="007235B2" w:rsidP="00FE172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Category I and II Activities - Disclosure of Time and Earnings</w:t>
      </w:r>
    </w:p>
    <w:p w14:paraId="070FB660" w14:textId="3E6D08F4" w:rsidR="009169A1" w:rsidRDefault="00827370" w:rsidP="00FE172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Plan Participants </w:t>
      </w:r>
      <w:r w:rsidR="009F0B9B">
        <w:rPr>
          <w:rFonts w:asciiTheme="minorHAnsi" w:hAnsiTheme="minorHAnsi" w:cstheme="minorHAnsi"/>
          <w:sz w:val="24"/>
          <w:szCs w:val="24"/>
        </w:rPr>
        <w:t xml:space="preserve">must disclose time spent and </w:t>
      </w:r>
      <w:r>
        <w:rPr>
          <w:rFonts w:asciiTheme="minorHAnsi" w:hAnsiTheme="minorHAnsi" w:cstheme="minorHAnsi"/>
          <w:sz w:val="24"/>
          <w:szCs w:val="24"/>
        </w:rPr>
        <w:t xml:space="preserve">all forms of </w:t>
      </w:r>
      <w:r w:rsidR="009F0B9B">
        <w:rPr>
          <w:rFonts w:asciiTheme="minorHAnsi" w:hAnsiTheme="minorHAnsi" w:cstheme="minorHAnsi"/>
          <w:sz w:val="24"/>
          <w:szCs w:val="24"/>
        </w:rPr>
        <w:t xml:space="preserve">compensation received for </w:t>
      </w:r>
      <w:r w:rsidR="009169A1">
        <w:rPr>
          <w:rFonts w:asciiTheme="minorHAnsi" w:hAnsiTheme="minorHAnsi" w:cstheme="minorHAnsi"/>
          <w:sz w:val="24"/>
          <w:szCs w:val="24"/>
        </w:rPr>
        <w:t xml:space="preserve">all </w:t>
      </w:r>
      <w:r>
        <w:rPr>
          <w:rFonts w:asciiTheme="minorHAnsi" w:hAnsiTheme="minorHAnsi" w:cstheme="minorHAnsi"/>
          <w:sz w:val="24"/>
          <w:szCs w:val="24"/>
        </w:rPr>
        <w:t>C</w:t>
      </w:r>
      <w:r w:rsidR="008A43B4">
        <w:rPr>
          <w:rFonts w:asciiTheme="minorHAnsi" w:hAnsiTheme="minorHAnsi" w:cstheme="minorHAnsi"/>
          <w:sz w:val="24"/>
          <w:szCs w:val="24"/>
        </w:rPr>
        <w:t xml:space="preserve">ategory I and II </w:t>
      </w:r>
      <w:r w:rsidR="009F0B9B">
        <w:rPr>
          <w:rFonts w:asciiTheme="minorHAnsi" w:hAnsiTheme="minorHAnsi" w:cstheme="minorHAnsi"/>
          <w:sz w:val="24"/>
          <w:szCs w:val="24"/>
        </w:rPr>
        <w:t xml:space="preserve">outside professional activities.  </w:t>
      </w: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9F0B9B">
        <w:rPr>
          <w:rFonts w:asciiTheme="minorHAnsi" w:hAnsiTheme="minorHAnsi" w:cstheme="minorHAnsi"/>
          <w:sz w:val="24"/>
          <w:szCs w:val="24"/>
        </w:rPr>
        <w:t xml:space="preserve">time and </w:t>
      </w:r>
      <w:r>
        <w:rPr>
          <w:rFonts w:asciiTheme="minorHAnsi" w:hAnsiTheme="minorHAnsi" w:cstheme="minorHAnsi"/>
          <w:sz w:val="24"/>
          <w:szCs w:val="24"/>
        </w:rPr>
        <w:t xml:space="preserve">earnings </w:t>
      </w:r>
      <w:r w:rsidR="009F0B9B">
        <w:rPr>
          <w:rFonts w:asciiTheme="minorHAnsi" w:hAnsiTheme="minorHAnsi" w:cstheme="minorHAnsi"/>
          <w:sz w:val="24"/>
          <w:szCs w:val="24"/>
        </w:rPr>
        <w:t xml:space="preserve">thresholds are </w:t>
      </w:r>
      <w:r>
        <w:rPr>
          <w:rFonts w:asciiTheme="minorHAnsi" w:hAnsiTheme="minorHAnsi" w:cstheme="minorHAnsi"/>
          <w:sz w:val="24"/>
          <w:szCs w:val="24"/>
        </w:rPr>
        <w:t xml:space="preserve">defined </w:t>
      </w:r>
      <w:r w:rsidR="009F0B9B">
        <w:rPr>
          <w:rFonts w:asciiTheme="minorHAnsi" w:hAnsiTheme="minorHAnsi" w:cstheme="minorHAnsi"/>
          <w:sz w:val="24"/>
          <w:szCs w:val="24"/>
        </w:rPr>
        <w:t xml:space="preserve">in </w:t>
      </w:r>
      <w:r>
        <w:rPr>
          <w:rFonts w:asciiTheme="minorHAnsi" w:hAnsiTheme="minorHAnsi" w:cstheme="minorHAnsi"/>
          <w:sz w:val="24"/>
          <w:szCs w:val="24"/>
        </w:rPr>
        <w:t xml:space="preserve">each department’s </w:t>
      </w:r>
      <w:r w:rsidR="008A43B4">
        <w:rPr>
          <w:rFonts w:asciiTheme="minorHAnsi" w:hAnsiTheme="minorHAnsi" w:cstheme="minorHAnsi"/>
          <w:sz w:val="24"/>
          <w:szCs w:val="24"/>
        </w:rPr>
        <w:t xml:space="preserve">Compensation </w:t>
      </w:r>
      <w:r w:rsidR="009F0B9B">
        <w:rPr>
          <w:rFonts w:asciiTheme="minorHAnsi" w:hAnsiTheme="minorHAnsi" w:cstheme="minorHAnsi"/>
          <w:sz w:val="24"/>
          <w:szCs w:val="24"/>
        </w:rPr>
        <w:t xml:space="preserve">Plan. </w:t>
      </w: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9F0B9B">
        <w:rPr>
          <w:rFonts w:asciiTheme="minorHAnsi" w:hAnsiTheme="minorHAnsi" w:cstheme="minorHAnsi"/>
          <w:sz w:val="24"/>
          <w:szCs w:val="24"/>
        </w:rPr>
        <w:t xml:space="preserve">OATS </w:t>
      </w:r>
      <w:r>
        <w:rPr>
          <w:rFonts w:asciiTheme="minorHAnsi" w:hAnsiTheme="minorHAnsi" w:cstheme="minorHAnsi"/>
          <w:sz w:val="24"/>
          <w:szCs w:val="24"/>
        </w:rPr>
        <w:t xml:space="preserve">system is programmed to set the </w:t>
      </w:r>
      <w:r w:rsidR="009F0B9B">
        <w:rPr>
          <w:rFonts w:asciiTheme="minorHAnsi" w:hAnsiTheme="minorHAnsi" w:cstheme="minorHAnsi"/>
          <w:sz w:val="24"/>
          <w:szCs w:val="24"/>
        </w:rPr>
        <w:t xml:space="preserve">time and </w:t>
      </w:r>
      <w:r>
        <w:rPr>
          <w:rFonts w:asciiTheme="minorHAnsi" w:hAnsiTheme="minorHAnsi" w:cstheme="minorHAnsi"/>
          <w:sz w:val="24"/>
          <w:szCs w:val="24"/>
        </w:rPr>
        <w:t xml:space="preserve">earnings thresholds </w:t>
      </w:r>
      <w:r w:rsidR="009F0B9B">
        <w:rPr>
          <w:rFonts w:asciiTheme="minorHAnsi" w:hAnsiTheme="minorHAnsi" w:cstheme="minorHAnsi"/>
          <w:sz w:val="24"/>
          <w:szCs w:val="24"/>
        </w:rPr>
        <w:t xml:space="preserve">for each </w:t>
      </w:r>
      <w:r>
        <w:rPr>
          <w:rFonts w:asciiTheme="minorHAnsi" w:hAnsiTheme="minorHAnsi" w:cstheme="minorHAnsi"/>
          <w:sz w:val="24"/>
          <w:szCs w:val="24"/>
        </w:rPr>
        <w:t xml:space="preserve">Plan Participant, </w:t>
      </w:r>
      <w:r w:rsidR="009F0B9B">
        <w:rPr>
          <w:rFonts w:asciiTheme="minorHAnsi" w:hAnsiTheme="minorHAnsi" w:cstheme="minorHAnsi"/>
          <w:sz w:val="24"/>
          <w:szCs w:val="24"/>
        </w:rPr>
        <w:t xml:space="preserve">based on </w:t>
      </w:r>
      <w:r w:rsidR="0025594D">
        <w:rPr>
          <w:rFonts w:asciiTheme="minorHAnsi" w:hAnsiTheme="minorHAnsi" w:cstheme="minorHAnsi"/>
          <w:sz w:val="24"/>
          <w:szCs w:val="24"/>
        </w:rPr>
        <w:t>academic rank</w:t>
      </w:r>
      <w:r>
        <w:rPr>
          <w:rFonts w:asciiTheme="minorHAnsi" w:hAnsiTheme="minorHAnsi" w:cstheme="minorHAnsi"/>
          <w:sz w:val="24"/>
          <w:szCs w:val="24"/>
        </w:rPr>
        <w:t>,</w:t>
      </w:r>
      <w:r w:rsidR="0025594D">
        <w:rPr>
          <w:rFonts w:asciiTheme="minorHAnsi" w:hAnsiTheme="minorHAnsi" w:cstheme="minorHAnsi"/>
          <w:sz w:val="24"/>
          <w:szCs w:val="24"/>
        </w:rPr>
        <w:t xml:space="preserve"> step</w:t>
      </w:r>
      <w:r>
        <w:rPr>
          <w:rFonts w:asciiTheme="minorHAnsi" w:hAnsiTheme="minorHAnsi" w:cstheme="minorHAnsi"/>
          <w:sz w:val="24"/>
          <w:szCs w:val="24"/>
        </w:rPr>
        <w:t>,</w:t>
      </w:r>
      <w:r w:rsidR="0025594D">
        <w:rPr>
          <w:rFonts w:asciiTheme="minorHAnsi" w:hAnsiTheme="minorHAnsi" w:cstheme="minorHAnsi"/>
          <w:sz w:val="24"/>
          <w:szCs w:val="24"/>
        </w:rPr>
        <w:t xml:space="preserve"> and </w:t>
      </w:r>
      <w:r w:rsidR="009F0B9B">
        <w:rPr>
          <w:rFonts w:asciiTheme="minorHAnsi" w:hAnsiTheme="minorHAnsi" w:cstheme="minorHAnsi"/>
          <w:sz w:val="24"/>
          <w:szCs w:val="24"/>
        </w:rPr>
        <w:t xml:space="preserve">the terms of </w:t>
      </w:r>
      <w:r>
        <w:rPr>
          <w:rFonts w:asciiTheme="minorHAnsi" w:hAnsiTheme="minorHAnsi" w:cstheme="minorHAnsi"/>
          <w:sz w:val="24"/>
          <w:szCs w:val="24"/>
        </w:rPr>
        <w:t xml:space="preserve">each Compensation </w:t>
      </w:r>
      <w:r w:rsidR="009F0B9B">
        <w:rPr>
          <w:rFonts w:asciiTheme="minorHAnsi" w:hAnsiTheme="minorHAnsi" w:cstheme="minorHAnsi"/>
          <w:sz w:val="24"/>
          <w:szCs w:val="24"/>
        </w:rPr>
        <w:t xml:space="preserve">Plan.  All </w:t>
      </w:r>
      <w:r w:rsidR="009169A1">
        <w:rPr>
          <w:rFonts w:asciiTheme="minorHAnsi" w:hAnsiTheme="minorHAnsi" w:cstheme="minorHAnsi"/>
          <w:sz w:val="24"/>
          <w:szCs w:val="24"/>
        </w:rPr>
        <w:t xml:space="preserve">forms of </w:t>
      </w:r>
      <w:r w:rsidR="009F0B9B">
        <w:rPr>
          <w:rFonts w:asciiTheme="minorHAnsi" w:hAnsiTheme="minorHAnsi" w:cstheme="minorHAnsi"/>
          <w:sz w:val="24"/>
          <w:szCs w:val="24"/>
        </w:rPr>
        <w:t xml:space="preserve">compensation </w:t>
      </w:r>
      <w:r w:rsidR="009169A1">
        <w:rPr>
          <w:rFonts w:asciiTheme="minorHAnsi" w:hAnsiTheme="minorHAnsi" w:cstheme="minorHAnsi"/>
          <w:sz w:val="24"/>
          <w:szCs w:val="24"/>
        </w:rPr>
        <w:t>related to C</w:t>
      </w:r>
      <w:r w:rsidR="008A43B4">
        <w:rPr>
          <w:rFonts w:asciiTheme="minorHAnsi" w:hAnsiTheme="minorHAnsi" w:cstheme="minorHAnsi"/>
          <w:sz w:val="24"/>
          <w:szCs w:val="24"/>
        </w:rPr>
        <w:t xml:space="preserve">ategory I and II </w:t>
      </w:r>
      <w:r w:rsidR="009F0B9B">
        <w:rPr>
          <w:rFonts w:asciiTheme="minorHAnsi" w:hAnsiTheme="minorHAnsi" w:cstheme="minorHAnsi"/>
          <w:sz w:val="24"/>
          <w:szCs w:val="24"/>
        </w:rPr>
        <w:t xml:space="preserve">outside </w:t>
      </w:r>
      <w:r w:rsidR="008A43B4">
        <w:rPr>
          <w:rFonts w:asciiTheme="minorHAnsi" w:hAnsiTheme="minorHAnsi" w:cstheme="minorHAnsi"/>
          <w:sz w:val="24"/>
          <w:szCs w:val="24"/>
        </w:rPr>
        <w:t xml:space="preserve">professional </w:t>
      </w:r>
      <w:r w:rsidR="009F0B9B">
        <w:rPr>
          <w:rFonts w:asciiTheme="minorHAnsi" w:hAnsiTheme="minorHAnsi" w:cstheme="minorHAnsi"/>
          <w:sz w:val="24"/>
          <w:szCs w:val="24"/>
        </w:rPr>
        <w:t>activities, including cash and non-cash compensation</w:t>
      </w:r>
      <w:r w:rsidR="009169A1">
        <w:rPr>
          <w:rFonts w:asciiTheme="minorHAnsi" w:hAnsiTheme="minorHAnsi" w:cstheme="minorHAnsi"/>
          <w:sz w:val="24"/>
          <w:szCs w:val="24"/>
        </w:rPr>
        <w:t>,</w:t>
      </w:r>
      <w:r w:rsidR="009F0B9B">
        <w:rPr>
          <w:rFonts w:asciiTheme="minorHAnsi" w:hAnsiTheme="minorHAnsi" w:cstheme="minorHAnsi"/>
          <w:sz w:val="24"/>
          <w:szCs w:val="24"/>
        </w:rPr>
        <w:t xml:space="preserve"> must be reported.  </w:t>
      </w:r>
    </w:p>
    <w:p w14:paraId="0E5F0202" w14:textId="41BCD68A" w:rsidR="009F0B9B" w:rsidRDefault="009169A1" w:rsidP="00FE172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</w:t>
      </w:r>
      <w:r w:rsidR="009F0B9B">
        <w:rPr>
          <w:rFonts w:asciiTheme="minorHAnsi" w:hAnsiTheme="minorHAnsi" w:cstheme="minorHAnsi"/>
          <w:sz w:val="24"/>
          <w:szCs w:val="24"/>
        </w:rPr>
        <w:t xml:space="preserve">on-cash compensation </w:t>
      </w:r>
      <w:r w:rsidR="0007192B">
        <w:rPr>
          <w:rFonts w:asciiTheme="minorHAnsi" w:hAnsiTheme="minorHAnsi" w:cstheme="minorHAnsi"/>
          <w:sz w:val="24"/>
          <w:szCs w:val="24"/>
        </w:rPr>
        <w:t>is valued</w:t>
      </w:r>
      <w:r>
        <w:rPr>
          <w:rFonts w:asciiTheme="minorHAnsi" w:hAnsiTheme="minorHAnsi" w:cstheme="minorHAnsi"/>
          <w:sz w:val="24"/>
          <w:szCs w:val="24"/>
        </w:rPr>
        <w:t xml:space="preserve"> through a formal review process (</w:t>
      </w:r>
      <w:r w:rsidR="009F0B9B">
        <w:rPr>
          <w:rFonts w:asciiTheme="minorHAnsi" w:hAnsiTheme="minorHAnsi" w:cstheme="minorHAnsi"/>
          <w:sz w:val="24"/>
          <w:szCs w:val="24"/>
        </w:rPr>
        <w:t>see below)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9F0B9B">
        <w:rPr>
          <w:rFonts w:asciiTheme="minorHAnsi" w:hAnsiTheme="minorHAnsi" w:cstheme="minorHAnsi"/>
          <w:sz w:val="24"/>
          <w:szCs w:val="24"/>
        </w:rPr>
        <w:t xml:space="preserve">Any activity that will result in exceeding the time or </w:t>
      </w:r>
      <w:r>
        <w:rPr>
          <w:rFonts w:asciiTheme="minorHAnsi" w:hAnsiTheme="minorHAnsi" w:cstheme="minorHAnsi"/>
          <w:sz w:val="24"/>
          <w:szCs w:val="24"/>
        </w:rPr>
        <w:t xml:space="preserve">earnings </w:t>
      </w:r>
      <w:r w:rsidR="008A43B4">
        <w:rPr>
          <w:rFonts w:asciiTheme="minorHAnsi" w:hAnsiTheme="minorHAnsi" w:cstheme="minorHAnsi"/>
          <w:sz w:val="24"/>
          <w:szCs w:val="24"/>
        </w:rPr>
        <w:t xml:space="preserve">thresholds </w:t>
      </w:r>
      <w:r w:rsidR="009F0B9B">
        <w:rPr>
          <w:rFonts w:asciiTheme="minorHAnsi" w:hAnsiTheme="minorHAnsi" w:cstheme="minorHAnsi"/>
          <w:sz w:val="24"/>
          <w:szCs w:val="24"/>
        </w:rPr>
        <w:t xml:space="preserve">must </w:t>
      </w:r>
      <w:r>
        <w:rPr>
          <w:rFonts w:asciiTheme="minorHAnsi" w:hAnsiTheme="minorHAnsi" w:cstheme="minorHAnsi"/>
          <w:sz w:val="24"/>
          <w:szCs w:val="24"/>
        </w:rPr>
        <w:t xml:space="preserve">be submitted through OATS and approved, in advance, by </w:t>
      </w:r>
      <w:r w:rsidR="008A43B4">
        <w:rPr>
          <w:rFonts w:asciiTheme="minorHAnsi" w:hAnsiTheme="minorHAnsi" w:cstheme="minorHAnsi"/>
          <w:sz w:val="24"/>
          <w:szCs w:val="24"/>
        </w:rPr>
        <w:t>the Departme</w:t>
      </w:r>
      <w:r w:rsidR="0025594D">
        <w:rPr>
          <w:rFonts w:asciiTheme="minorHAnsi" w:hAnsiTheme="minorHAnsi" w:cstheme="minorHAnsi"/>
          <w:sz w:val="24"/>
          <w:szCs w:val="24"/>
        </w:rPr>
        <w:t>nt</w:t>
      </w:r>
      <w:r w:rsidR="008A43B4">
        <w:rPr>
          <w:rFonts w:asciiTheme="minorHAnsi" w:hAnsiTheme="minorHAnsi" w:cstheme="minorHAnsi"/>
          <w:sz w:val="24"/>
          <w:szCs w:val="24"/>
        </w:rPr>
        <w:t xml:space="preserve"> Chair and the Dean’s office</w:t>
      </w:r>
      <w:r w:rsidR="009F0B9B">
        <w:rPr>
          <w:rFonts w:asciiTheme="minorHAnsi" w:hAnsiTheme="minorHAnsi" w:cstheme="minorHAnsi"/>
          <w:sz w:val="24"/>
          <w:szCs w:val="24"/>
        </w:rPr>
        <w:t xml:space="preserve">.  Management of </w:t>
      </w:r>
      <w:r>
        <w:rPr>
          <w:rFonts w:asciiTheme="minorHAnsi" w:hAnsiTheme="minorHAnsi" w:cstheme="minorHAnsi"/>
          <w:sz w:val="24"/>
          <w:szCs w:val="24"/>
        </w:rPr>
        <w:t xml:space="preserve">earnings related to </w:t>
      </w:r>
      <w:r w:rsidR="009F0B9B">
        <w:rPr>
          <w:rFonts w:asciiTheme="minorHAnsi" w:hAnsiTheme="minorHAnsi" w:cstheme="minorHAnsi"/>
          <w:sz w:val="24"/>
          <w:szCs w:val="24"/>
        </w:rPr>
        <w:t xml:space="preserve">outside professional activities is described in </w:t>
      </w:r>
      <w:r w:rsidR="007235B2">
        <w:rPr>
          <w:rFonts w:asciiTheme="minorHAnsi" w:hAnsiTheme="minorHAnsi" w:cstheme="minorHAnsi"/>
          <w:sz w:val="24"/>
          <w:szCs w:val="24"/>
        </w:rPr>
        <w:t>each</w:t>
      </w:r>
      <w:r w:rsidR="009F0B9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</w:t>
      </w:r>
      <w:r w:rsidR="009F0B9B">
        <w:rPr>
          <w:rFonts w:asciiTheme="minorHAnsi" w:hAnsiTheme="minorHAnsi" w:cstheme="minorHAnsi"/>
          <w:sz w:val="24"/>
          <w:szCs w:val="24"/>
        </w:rPr>
        <w:t>epartment</w:t>
      </w:r>
      <w:r>
        <w:rPr>
          <w:rFonts w:asciiTheme="minorHAnsi" w:hAnsiTheme="minorHAnsi" w:cstheme="minorHAnsi"/>
          <w:sz w:val="24"/>
          <w:szCs w:val="24"/>
        </w:rPr>
        <w:t xml:space="preserve">’s Compensation </w:t>
      </w:r>
      <w:r w:rsidR="009F0B9B">
        <w:rPr>
          <w:rFonts w:asciiTheme="minorHAnsi" w:hAnsiTheme="minorHAnsi" w:cstheme="minorHAnsi"/>
          <w:sz w:val="24"/>
          <w:szCs w:val="24"/>
        </w:rPr>
        <w:t>Plan.</w:t>
      </w:r>
    </w:p>
    <w:p w14:paraId="4B2421FD" w14:textId="77777777" w:rsidR="009169A1" w:rsidRDefault="009169A1" w:rsidP="00FE1724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7A264975" w14:textId="4438BF1A" w:rsidR="009F0B9B" w:rsidRPr="0007192B" w:rsidRDefault="009F0B9B" w:rsidP="009169A1">
      <w:pPr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07192B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Disclosure </w:t>
      </w:r>
      <w:r w:rsidR="009169A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requirements: </w:t>
      </w:r>
      <w:r w:rsidR="0007192B">
        <w:rPr>
          <w:rFonts w:asciiTheme="minorHAnsi" w:hAnsiTheme="minorHAnsi" w:cstheme="minorHAnsi"/>
          <w:b/>
          <w:bCs/>
          <w:i/>
          <w:iCs/>
          <w:sz w:val="24"/>
          <w:szCs w:val="24"/>
        </w:rPr>
        <w:t>N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on-</w:t>
      </w:r>
      <w:r w:rsidR="0007192B">
        <w:rPr>
          <w:rFonts w:asciiTheme="minorHAnsi" w:hAnsiTheme="minorHAnsi" w:cstheme="minorHAnsi"/>
          <w:b/>
          <w:bCs/>
          <w:i/>
          <w:iCs/>
          <w:sz w:val="24"/>
          <w:szCs w:val="24"/>
        </w:rPr>
        <w:t>Cash C</w:t>
      </w:r>
      <w:r w:rsidRPr="0007192B">
        <w:rPr>
          <w:rFonts w:asciiTheme="minorHAnsi" w:hAnsiTheme="minorHAnsi" w:cstheme="minorHAnsi"/>
          <w:b/>
          <w:bCs/>
          <w:i/>
          <w:iCs/>
          <w:sz w:val="24"/>
          <w:szCs w:val="24"/>
        </w:rPr>
        <w:t>ompensation</w:t>
      </w:r>
    </w:p>
    <w:p w14:paraId="68713D7C" w14:textId="047F466D" w:rsidR="00CD0737" w:rsidRPr="00ED58A8" w:rsidRDefault="009169A1" w:rsidP="00FE172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Plan Participants </w:t>
      </w:r>
      <w:r w:rsidR="00CD0737" w:rsidRPr="00ED58A8">
        <w:rPr>
          <w:rFonts w:asciiTheme="minorHAnsi" w:hAnsiTheme="minorHAnsi" w:cstheme="minorHAnsi"/>
          <w:sz w:val="24"/>
          <w:szCs w:val="24"/>
        </w:rPr>
        <w:t>who receive stock</w:t>
      </w:r>
      <w:r>
        <w:rPr>
          <w:rFonts w:asciiTheme="minorHAnsi" w:hAnsiTheme="minorHAnsi" w:cstheme="minorHAnsi"/>
          <w:sz w:val="24"/>
          <w:szCs w:val="24"/>
        </w:rPr>
        <w:t>,</w:t>
      </w:r>
      <w:r w:rsidR="00CD0737" w:rsidRPr="00ED58A8">
        <w:rPr>
          <w:rFonts w:asciiTheme="minorHAnsi" w:hAnsiTheme="minorHAnsi" w:cstheme="minorHAnsi"/>
          <w:sz w:val="24"/>
          <w:szCs w:val="24"/>
        </w:rPr>
        <w:t xml:space="preserve"> stock options</w:t>
      </w:r>
      <w:r>
        <w:rPr>
          <w:rFonts w:asciiTheme="minorHAnsi" w:hAnsiTheme="minorHAnsi" w:cstheme="minorHAnsi"/>
          <w:sz w:val="24"/>
          <w:szCs w:val="24"/>
        </w:rPr>
        <w:t xml:space="preserve">, founder’s stock or other forms of non-cash compensation </w:t>
      </w:r>
      <w:r w:rsidR="00CD0737" w:rsidRPr="00ED58A8">
        <w:rPr>
          <w:rFonts w:asciiTheme="minorHAnsi" w:hAnsiTheme="minorHAnsi" w:cstheme="minorHAnsi"/>
          <w:sz w:val="24"/>
          <w:szCs w:val="24"/>
        </w:rPr>
        <w:t xml:space="preserve"> in lieu of compensation for outside professional activities must disclose </w:t>
      </w:r>
      <w:r>
        <w:rPr>
          <w:rFonts w:asciiTheme="minorHAnsi" w:hAnsiTheme="minorHAnsi" w:cstheme="minorHAnsi"/>
          <w:sz w:val="24"/>
          <w:szCs w:val="24"/>
        </w:rPr>
        <w:t xml:space="preserve">the non-cash compensation </w:t>
      </w:r>
      <w:r w:rsidR="00CD0737" w:rsidRPr="00ED58A8">
        <w:rPr>
          <w:rFonts w:asciiTheme="minorHAnsi" w:hAnsiTheme="minorHAnsi" w:cstheme="minorHAnsi"/>
          <w:sz w:val="24"/>
          <w:szCs w:val="24"/>
        </w:rPr>
        <w:t xml:space="preserve">to the Dean’s Office </w:t>
      </w:r>
      <w:r w:rsidR="00CD0737" w:rsidRPr="00ED58A8">
        <w:rPr>
          <w:rFonts w:asciiTheme="minorHAnsi" w:hAnsiTheme="minorHAnsi" w:cstheme="minorHAnsi"/>
          <w:b/>
          <w:bCs/>
          <w:sz w:val="24"/>
          <w:szCs w:val="24"/>
        </w:rPr>
        <w:t>within 30</w:t>
      </w:r>
      <w:r w:rsidR="00330AAA" w:rsidRPr="00ED58A8">
        <w:rPr>
          <w:rFonts w:asciiTheme="minorHAnsi" w:hAnsiTheme="minorHAnsi" w:cstheme="minorHAnsi"/>
          <w:b/>
          <w:bCs/>
          <w:sz w:val="24"/>
          <w:szCs w:val="24"/>
        </w:rPr>
        <w:t xml:space="preserve"> days of receipt</w:t>
      </w:r>
      <w:r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330AAA" w:rsidRPr="00ED58A8">
        <w:rPr>
          <w:rFonts w:asciiTheme="minorHAnsi" w:hAnsiTheme="minorHAnsi" w:cstheme="minorHAnsi"/>
          <w:sz w:val="24"/>
          <w:szCs w:val="24"/>
        </w:rPr>
        <w:t xml:space="preserve"> </w:t>
      </w:r>
      <w:r w:rsidR="00ED58A8">
        <w:rPr>
          <w:rFonts w:asciiTheme="minorHAnsi" w:hAnsiTheme="minorHAnsi" w:cstheme="minorHAnsi"/>
          <w:sz w:val="24"/>
          <w:szCs w:val="24"/>
        </w:rPr>
        <w:t>independent of any vesting periods</w:t>
      </w:r>
      <w:r w:rsidR="00330AAA" w:rsidRPr="00ED58A8">
        <w:rPr>
          <w:rFonts w:asciiTheme="minorHAnsi" w:hAnsiTheme="minorHAnsi" w:cstheme="minorHAnsi"/>
          <w:sz w:val="24"/>
          <w:szCs w:val="24"/>
        </w:rPr>
        <w:t>.</w:t>
      </w:r>
    </w:p>
    <w:p w14:paraId="3771D0E4" w14:textId="21BD725B" w:rsidR="00ED58A8" w:rsidRDefault="00ED58A8" w:rsidP="00ED58A8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If shares of stock are provided</w:t>
      </w:r>
      <w:r w:rsidR="009169A1">
        <w:rPr>
          <w:rFonts w:asciiTheme="minorHAnsi" w:hAnsiTheme="minorHAnsi" w:cstheme="minorHAnsi"/>
          <w:sz w:val="24"/>
          <w:szCs w:val="24"/>
        </w:rPr>
        <w:t xml:space="preserve"> as compensation</w:t>
      </w:r>
      <w:r w:rsidR="00AE494C">
        <w:rPr>
          <w:rFonts w:asciiTheme="minorHAnsi" w:hAnsiTheme="minorHAnsi" w:cstheme="minorHAnsi"/>
          <w:sz w:val="24"/>
          <w:szCs w:val="24"/>
        </w:rPr>
        <w:t xml:space="preserve"> for outside professional activities</w:t>
      </w:r>
      <w:r>
        <w:rPr>
          <w:rFonts w:asciiTheme="minorHAnsi" w:hAnsiTheme="minorHAnsi" w:cstheme="minorHAnsi"/>
          <w:sz w:val="24"/>
          <w:szCs w:val="24"/>
        </w:rPr>
        <w:t xml:space="preserve">, the shares will be valued at the time they are </w:t>
      </w:r>
      <w:r w:rsidR="009169A1">
        <w:rPr>
          <w:rFonts w:asciiTheme="minorHAnsi" w:hAnsiTheme="minorHAnsi" w:cstheme="minorHAnsi"/>
          <w:sz w:val="24"/>
          <w:szCs w:val="24"/>
        </w:rPr>
        <w:t xml:space="preserve">disclosed to the Dean’s office. The valuation </w:t>
      </w:r>
      <w:r>
        <w:rPr>
          <w:rFonts w:asciiTheme="minorHAnsi" w:hAnsiTheme="minorHAnsi" w:cstheme="minorHAnsi"/>
          <w:sz w:val="24"/>
          <w:szCs w:val="24"/>
        </w:rPr>
        <w:t>determine</w:t>
      </w:r>
      <w:r w:rsidR="00AE494C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169A1">
        <w:rPr>
          <w:rFonts w:asciiTheme="minorHAnsi" w:hAnsiTheme="minorHAnsi" w:cstheme="minorHAnsi"/>
          <w:sz w:val="24"/>
          <w:szCs w:val="24"/>
        </w:rPr>
        <w:t xml:space="preserve">the </w:t>
      </w:r>
      <w:r>
        <w:rPr>
          <w:rFonts w:asciiTheme="minorHAnsi" w:hAnsiTheme="minorHAnsi" w:cstheme="minorHAnsi"/>
          <w:sz w:val="24"/>
          <w:szCs w:val="24"/>
        </w:rPr>
        <w:t xml:space="preserve">value </w:t>
      </w:r>
      <w:r w:rsidR="009169A1">
        <w:rPr>
          <w:rFonts w:asciiTheme="minorHAnsi" w:hAnsiTheme="minorHAnsi" w:cstheme="minorHAnsi"/>
          <w:sz w:val="24"/>
          <w:szCs w:val="24"/>
        </w:rPr>
        <w:t>of the stock</w:t>
      </w:r>
      <w:r w:rsidR="00AE494C">
        <w:rPr>
          <w:rFonts w:asciiTheme="minorHAnsi" w:hAnsiTheme="minorHAnsi" w:cstheme="minorHAnsi"/>
          <w:sz w:val="24"/>
          <w:szCs w:val="24"/>
        </w:rPr>
        <w:t xml:space="preserve">, which </w:t>
      </w:r>
      <w:r w:rsidR="008A43B4">
        <w:rPr>
          <w:rFonts w:asciiTheme="minorHAnsi" w:hAnsiTheme="minorHAnsi" w:cstheme="minorHAnsi"/>
          <w:sz w:val="24"/>
          <w:szCs w:val="24"/>
        </w:rPr>
        <w:t>counts towards</w:t>
      </w:r>
      <w:r>
        <w:rPr>
          <w:rFonts w:asciiTheme="minorHAnsi" w:hAnsiTheme="minorHAnsi" w:cstheme="minorHAnsi"/>
          <w:sz w:val="24"/>
          <w:szCs w:val="24"/>
        </w:rPr>
        <w:t xml:space="preserve"> the </w:t>
      </w:r>
      <w:r w:rsidR="00AE494C">
        <w:rPr>
          <w:rFonts w:asciiTheme="minorHAnsi" w:hAnsiTheme="minorHAnsi" w:cstheme="minorHAnsi"/>
          <w:sz w:val="24"/>
          <w:szCs w:val="24"/>
        </w:rPr>
        <w:t xml:space="preserve">annual </w:t>
      </w:r>
      <w:r w:rsidR="009169A1">
        <w:rPr>
          <w:rFonts w:asciiTheme="minorHAnsi" w:hAnsiTheme="minorHAnsi" w:cstheme="minorHAnsi"/>
          <w:sz w:val="24"/>
          <w:szCs w:val="24"/>
        </w:rPr>
        <w:t xml:space="preserve">earnings </w:t>
      </w:r>
      <w:r>
        <w:rPr>
          <w:rFonts w:asciiTheme="minorHAnsi" w:hAnsiTheme="minorHAnsi" w:cstheme="minorHAnsi"/>
          <w:sz w:val="24"/>
          <w:szCs w:val="24"/>
        </w:rPr>
        <w:t>threshold</w:t>
      </w:r>
      <w:r w:rsidR="00AE494C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and </w:t>
      </w:r>
      <w:r w:rsidR="009169A1">
        <w:rPr>
          <w:rFonts w:asciiTheme="minorHAnsi" w:hAnsiTheme="minorHAnsi" w:cstheme="minorHAnsi"/>
          <w:sz w:val="24"/>
          <w:szCs w:val="24"/>
        </w:rPr>
        <w:t xml:space="preserve">whether the Plan Participant has a financial obligation to </w:t>
      </w:r>
      <w:r>
        <w:rPr>
          <w:rFonts w:asciiTheme="minorHAnsi" w:hAnsiTheme="minorHAnsi" w:cstheme="minorHAnsi"/>
          <w:sz w:val="24"/>
          <w:szCs w:val="24"/>
        </w:rPr>
        <w:t>the Plan.</w:t>
      </w:r>
    </w:p>
    <w:p w14:paraId="10721C1D" w14:textId="64B9D7BC" w:rsidR="00ED58A8" w:rsidRDefault="00ED58A8" w:rsidP="00ED58A8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If </w:t>
      </w:r>
      <w:r w:rsidR="00AE494C">
        <w:rPr>
          <w:rFonts w:asciiTheme="minorHAnsi" w:hAnsiTheme="minorHAnsi" w:cstheme="minorHAnsi"/>
          <w:sz w:val="24"/>
          <w:szCs w:val="24"/>
        </w:rPr>
        <w:t xml:space="preserve">stock </w:t>
      </w:r>
      <w:r>
        <w:rPr>
          <w:rFonts w:asciiTheme="minorHAnsi" w:hAnsiTheme="minorHAnsi" w:cstheme="minorHAnsi"/>
          <w:sz w:val="24"/>
          <w:szCs w:val="24"/>
        </w:rPr>
        <w:t xml:space="preserve">options are </w:t>
      </w:r>
      <w:r w:rsidR="00AE494C">
        <w:rPr>
          <w:rFonts w:asciiTheme="minorHAnsi" w:hAnsiTheme="minorHAnsi" w:cstheme="minorHAnsi"/>
          <w:sz w:val="24"/>
          <w:szCs w:val="24"/>
        </w:rPr>
        <w:t xml:space="preserve">provided as compensation for outside professional activities and </w:t>
      </w:r>
      <w:r>
        <w:rPr>
          <w:rFonts w:asciiTheme="minorHAnsi" w:hAnsiTheme="minorHAnsi" w:cstheme="minorHAnsi"/>
          <w:sz w:val="24"/>
          <w:szCs w:val="24"/>
        </w:rPr>
        <w:t xml:space="preserve">offered at market value, independent of </w:t>
      </w:r>
      <w:r w:rsidR="00AE494C">
        <w:rPr>
          <w:rFonts w:asciiTheme="minorHAnsi" w:hAnsiTheme="minorHAnsi" w:cstheme="minorHAnsi"/>
          <w:sz w:val="24"/>
          <w:szCs w:val="24"/>
        </w:rPr>
        <w:t xml:space="preserve">the </w:t>
      </w:r>
      <w:r>
        <w:rPr>
          <w:rFonts w:asciiTheme="minorHAnsi" w:hAnsiTheme="minorHAnsi" w:cstheme="minorHAnsi"/>
          <w:sz w:val="24"/>
          <w:szCs w:val="24"/>
        </w:rPr>
        <w:t xml:space="preserve">vesting period, </w:t>
      </w:r>
      <w:r w:rsidR="00AE494C">
        <w:rPr>
          <w:rFonts w:asciiTheme="minorHAnsi" w:hAnsiTheme="minorHAnsi" w:cstheme="minorHAnsi"/>
          <w:sz w:val="24"/>
          <w:szCs w:val="24"/>
        </w:rPr>
        <w:t xml:space="preserve">in all likelihood there will not be a financial obligation to </w:t>
      </w:r>
      <w:r>
        <w:rPr>
          <w:rFonts w:asciiTheme="minorHAnsi" w:hAnsiTheme="minorHAnsi" w:cstheme="minorHAnsi"/>
          <w:sz w:val="24"/>
          <w:szCs w:val="24"/>
        </w:rPr>
        <w:t>the Plan</w:t>
      </w:r>
      <w:r w:rsidR="00AE494C">
        <w:rPr>
          <w:rFonts w:asciiTheme="minorHAnsi" w:hAnsiTheme="minorHAnsi" w:cstheme="minorHAnsi"/>
          <w:sz w:val="24"/>
          <w:szCs w:val="24"/>
        </w:rPr>
        <w:t>.</w:t>
      </w:r>
    </w:p>
    <w:p w14:paraId="5B50A479" w14:textId="2701183D" w:rsidR="00CD0737" w:rsidRPr="00ED58A8" w:rsidRDefault="00CD0737" w:rsidP="00ED58A8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ED58A8">
        <w:rPr>
          <w:rFonts w:asciiTheme="minorHAnsi" w:hAnsiTheme="minorHAnsi" w:cstheme="minorHAnsi"/>
          <w:sz w:val="24"/>
          <w:szCs w:val="24"/>
        </w:rPr>
        <w:t xml:space="preserve">If </w:t>
      </w:r>
      <w:r w:rsidR="00AE494C">
        <w:rPr>
          <w:rFonts w:asciiTheme="minorHAnsi" w:hAnsiTheme="minorHAnsi" w:cstheme="minorHAnsi"/>
          <w:sz w:val="24"/>
          <w:szCs w:val="24"/>
        </w:rPr>
        <w:t xml:space="preserve">stock </w:t>
      </w:r>
      <w:r w:rsidR="00ED58A8">
        <w:rPr>
          <w:rFonts w:asciiTheme="minorHAnsi" w:hAnsiTheme="minorHAnsi" w:cstheme="minorHAnsi"/>
          <w:sz w:val="24"/>
          <w:szCs w:val="24"/>
        </w:rPr>
        <w:t xml:space="preserve">options are offered at </w:t>
      </w:r>
      <w:r w:rsidR="00AE494C">
        <w:rPr>
          <w:rFonts w:asciiTheme="minorHAnsi" w:hAnsiTheme="minorHAnsi" w:cstheme="minorHAnsi"/>
          <w:sz w:val="24"/>
          <w:szCs w:val="24"/>
        </w:rPr>
        <w:t xml:space="preserve">a lower price </w:t>
      </w:r>
      <w:r w:rsidRPr="00ED58A8">
        <w:rPr>
          <w:rFonts w:asciiTheme="minorHAnsi" w:hAnsiTheme="minorHAnsi" w:cstheme="minorHAnsi"/>
          <w:sz w:val="24"/>
          <w:szCs w:val="24"/>
        </w:rPr>
        <w:t>than the stock/stock option’s valuation on the da</w:t>
      </w:r>
      <w:r w:rsidR="00AE494C">
        <w:rPr>
          <w:rFonts w:asciiTheme="minorHAnsi" w:hAnsiTheme="minorHAnsi" w:cstheme="minorHAnsi"/>
          <w:sz w:val="24"/>
          <w:szCs w:val="24"/>
        </w:rPr>
        <w:t>te</w:t>
      </w:r>
      <w:r w:rsidRPr="00ED58A8">
        <w:rPr>
          <w:rFonts w:asciiTheme="minorHAnsi" w:hAnsiTheme="minorHAnsi" w:cstheme="minorHAnsi"/>
          <w:sz w:val="24"/>
          <w:szCs w:val="24"/>
        </w:rPr>
        <w:t xml:space="preserve"> </w:t>
      </w:r>
      <w:r w:rsidR="00DE13AE" w:rsidRPr="00ED58A8">
        <w:rPr>
          <w:rFonts w:asciiTheme="minorHAnsi" w:hAnsiTheme="minorHAnsi" w:cstheme="minorHAnsi"/>
          <w:sz w:val="24"/>
          <w:szCs w:val="24"/>
        </w:rPr>
        <w:t>of</w:t>
      </w:r>
      <w:r w:rsidR="00DE13AE">
        <w:rPr>
          <w:rFonts w:asciiTheme="minorHAnsi" w:hAnsiTheme="minorHAnsi" w:cstheme="minorHAnsi"/>
          <w:sz w:val="24"/>
          <w:szCs w:val="24"/>
        </w:rPr>
        <w:t xml:space="preserve"> disclosure</w:t>
      </w:r>
      <w:r w:rsidRPr="00ED58A8">
        <w:rPr>
          <w:rFonts w:asciiTheme="minorHAnsi" w:hAnsiTheme="minorHAnsi" w:cstheme="minorHAnsi"/>
          <w:sz w:val="24"/>
          <w:szCs w:val="24"/>
        </w:rPr>
        <w:t xml:space="preserve">, the difference between the purchase price and the value of the stock/stock options </w:t>
      </w:r>
      <w:r w:rsidR="00AE494C">
        <w:rPr>
          <w:rFonts w:asciiTheme="minorHAnsi" w:hAnsiTheme="minorHAnsi" w:cstheme="minorHAnsi"/>
          <w:sz w:val="24"/>
          <w:szCs w:val="24"/>
        </w:rPr>
        <w:t xml:space="preserve">contributes to the earnings threshold and may be </w:t>
      </w:r>
      <w:r w:rsidRPr="00ED58A8">
        <w:rPr>
          <w:rFonts w:asciiTheme="minorHAnsi" w:hAnsiTheme="minorHAnsi" w:cstheme="minorHAnsi"/>
          <w:sz w:val="24"/>
          <w:szCs w:val="24"/>
        </w:rPr>
        <w:t xml:space="preserve">due the Plan.  </w:t>
      </w:r>
    </w:p>
    <w:p w14:paraId="27D0E2BD" w14:textId="3CC8AA59" w:rsidR="00CD0737" w:rsidRPr="00ED58A8" w:rsidRDefault="00AE494C" w:rsidP="00FE1724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Plan Participants </w:t>
      </w:r>
      <w:r w:rsidR="00CD0737" w:rsidRPr="00ED58A8">
        <w:rPr>
          <w:rFonts w:asciiTheme="minorHAnsi" w:hAnsiTheme="minorHAnsi" w:cstheme="minorHAnsi"/>
          <w:sz w:val="24"/>
          <w:szCs w:val="24"/>
        </w:rPr>
        <w:t xml:space="preserve">who </w:t>
      </w:r>
      <w:r>
        <w:rPr>
          <w:rFonts w:asciiTheme="minorHAnsi" w:hAnsiTheme="minorHAnsi" w:cstheme="minorHAnsi"/>
          <w:sz w:val="24"/>
          <w:szCs w:val="24"/>
        </w:rPr>
        <w:t xml:space="preserve">do not </w:t>
      </w:r>
      <w:r w:rsidR="00CD0737" w:rsidRPr="00ED58A8">
        <w:rPr>
          <w:rFonts w:asciiTheme="minorHAnsi" w:hAnsiTheme="minorHAnsi" w:cstheme="minorHAnsi"/>
          <w:sz w:val="24"/>
          <w:szCs w:val="24"/>
        </w:rPr>
        <w:t xml:space="preserve">disclose stock/stock options </w:t>
      </w:r>
      <w:r>
        <w:rPr>
          <w:rFonts w:asciiTheme="minorHAnsi" w:hAnsiTheme="minorHAnsi" w:cstheme="minorHAnsi"/>
          <w:sz w:val="24"/>
          <w:szCs w:val="24"/>
        </w:rPr>
        <w:t xml:space="preserve">within 30 days of receipt </w:t>
      </w:r>
      <w:r w:rsidR="00CD0737" w:rsidRPr="00ED58A8">
        <w:rPr>
          <w:rFonts w:asciiTheme="minorHAnsi" w:hAnsiTheme="minorHAnsi" w:cstheme="minorHAnsi"/>
          <w:sz w:val="24"/>
          <w:szCs w:val="24"/>
        </w:rPr>
        <w:t>will owe the Plan the difference between the initial purchase</w:t>
      </w:r>
      <w:r w:rsidR="00DE13AE">
        <w:rPr>
          <w:rFonts w:asciiTheme="minorHAnsi" w:hAnsiTheme="minorHAnsi" w:cstheme="minorHAnsi"/>
          <w:sz w:val="24"/>
          <w:szCs w:val="24"/>
        </w:rPr>
        <w:t>/offer</w:t>
      </w:r>
      <w:r w:rsidR="00CD0737" w:rsidRPr="00ED58A8">
        <w:rPr>
          <w:rFonts w:asciiTheme="minorHAnsi" w:hAnsiTheme="minorHAnsi" w:cstheme="minorHAnsi"/>
          <w:sz w:val="24"/>
          <w:szCs w:val="24"/>
        </w:rPr>
        <w:t xml:space="preserve"> price and the market value </w:t>
      </w:r>
      <w:r w:rsidR="00CD0737" w:rsidRPr="00ED58A8">
        <w:rPr>
          <w:rFonts w:asciiTheme="minorHAnsi" w:hAnsiTheme="minorHAnsi" w:cstheme="minorHAnsi"/>
          <w:b/>
          <w:bCs/>
          <w:sz w:val="24"/>
          <w:szCs w:val="24"/>
        </w:rPr>
        <w:t xml:space="preserve">at the time </w:t>
      </w:r>
      <w:r w:rsidR="00ED58A8">
        <w:rPr>
          <w:rFonts w:asciiTheme="minorHAnsi" w:hAnsiTheme="minorHAnsi" w:cstheme="minorHAnsi"/>
          <w:b/>
          <w:bCs/>
          <w:sz w:val="24"/>
          <w:szCs w:val="24"/>
        </w:rPr>
        <w:t>of disclosure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to the Dean’s office</w:t>
      </w:r>
      <w:r w:rsidR="00CD0737" w:rsidRPr="00ED58A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1385858" w14:textId="31500D84" w:rsidR="00D3326C" w:rsidRDefault="00DE13AE" w:rsidP="00CD0737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Valuation</w:t>
      </w:r>
      <w:r w:rsidR="002122DB">
        <w:rPr>
          <w:rFonts w:asciiTheme="minorHAnsi" w:hAnsiTheme="minorHAnsi" w:cstheme="minorHAnsi"/>
          <w:sz w:val="24"/>
          <w:szCs w:val="24"/>
        </w:rPr>
        <w:t xml:space="preserve"> of a</w:t>
      </w:r>
      <w:r w:rsidR="00ED58A8">
        <w:rPr>
          <w:rFonts w:asciiTheme="minorHAnsi" w:hAnsiTheme="minorHAnsi" w:cstheme="minorHAnsi"/>
          <w:sz w:val="24"/>
          <w:szCs w:val="24"/>
        </w:rPr>
        <w:t xml:space="preserve">ll </w:t>
      </w:r>
      <w:r w:rsidR="00AE494C">
        <w:rPr>
          <w:rFonts w:asciiTheme="minorHAnsi" w:hAnsiTheme="minorHAnsi" w:cstheme="minorHAnsi"/>
          <w:sz w:val="24"/>
          <w:szCs w:val="24"/>
        </w:rPr>
        <w:t xml:space="preserve">forms of </w:t>
      </w:r>
      <w:r w:rsidR="00ED58A8">
        <w:rPr>
          <w:rFonts w:asciiTheme="minorHAnsi" w:hAnsiTheme="minorHAnsi" w:cstheme="minorHAnsi"/>
          <w:sz w:val="24"/>
          <w:szCs w:val="24"/>
        </w:rPr>
        <w:t xml:space="preserve">non-cash compensation </w:t>
      </w:r>
      <w:r w:rsidR="002122DB">
        <w:rPr>
          <w:rFonts w:asciiTheme="minorHAnsi" w:hAnsiTheme="minorHAnsi" w:cstheme="minorHAnsi"/>
          <w:sz w:val="24"/>
          <w:szCs w:val="24"/>
        </w:rPr>
        <w:t>is based on</w:t>
      </w:r>
      <w:r w:rsidR="00ED58A8">
        <w:rPr>
          <w:rFonts w:asciiTheme="minorHAnsi" w:hAnsiTheme="minorHAnsi" w:cstheme="minorHAnsi"/>
          <w:sz w:val="24"/>
          <w:szCs w:val="24"/>
        </w:rPr>
        <w:t xml:space="preserve"> the time </w:t>
      </w:r>
      <w:r w:rsidR="00AE494C">
        <w:rPr>
          <w:rFonts w:asciiTheme="minorHAnsi" w:hAnsiTheme="minorHAnsi" w:cstheme="minorHAnsi"/>
          <w:sz w:val="24"/>
          <w:szCs w:val="24"/>
        </w:rPr>
        <w:t xml:space="preserve">they are </w:t>
      </w:r>
      <w:r w:rsidR="00ED58A8">
        <w:rPr>
          <w:rFonts w:asciiTheme="minorHAnsi" w:hAnsiTheme="minorHAnsi" w:cstheme="minorHAnsi"/>
          <w:sz w:val="24"/>
          <w:szCs w:val="24"/>
        </w:rPr>
        <w:t xml:space="preserve">offered to </w:t>
      </w:r>
      <w:r w:rsidR="00AE494C">
        <w:rPr>
          <w:rFonts w:asciiTheme="minorHAnsi" w:hAnsiTheme="minorHAnsi" w:cstheme="minorHAnsi"/>
          <w:sz w:val="24"/>
          <w:szCs w:val="24"/>
        </w:rPr>
        <w:t>Plan Participants</w:t>
      </w:r>
      <w:r w:rsidR="00DC573D">
        <w:rPr>
          <w:rFonts w:asciiTheme="minorHAnsi" w:hAnsiTheme="minorHAnsi" w:cstheme="minorHAnsi"/>
          <w:sz w:val="24"/>
          <w:szCs w:val="24"/>
        </w:rPr>
        <w:t xml:space="preserve"> and the date of disclosure to the Dean’s office</w:t>
      </w:r>
      <w:r w:rsidR="00ED58A8">
        <w:rPr>
          <w:rFonts w:asciiTheme="minorHAnsi" w:hAnsiTheme="minorHAnsi" w:cstheme="minorHAnsi"/>
          <w:sz w:val="24"/>
          <w:szCs w:val="24"/>
        </w:rPr>
        <w:t xml:space="preserve">. </w:t>
      </w:r>
      <w:r w:rsidR="002122DB">
        <w:rPr>
          <w:rFonts w:asciiTheme="minorHAnsi" w:hAnsiTheme="minorHAnsi" w:cstheme="minorHAnsi"/>
          <w:sz w:val="24"/>
          <w:szCs w:val="24"/>
        </w:rPr>
        <w:t>It should be noted that t</w:t>
      </w:r>
      <w:r w:rsidR="00ED58A8">
        <w:rPr>
          <w:rFonts w:asciiTheme="minorHAnsi" w:hAnsiTheme="minorHAnsi" w:cstheme="minorHAnsi"/>
          <w:sz w:val="24"/>
          <w:szCs w:val="24"/>
        </w:rPr>
        <w:t xml:space="preserve">he value of all </w:t>
      </w:r>
      <w:r w:rsidR="002122DB">
        <w:rPr>
          <w:rFonts w:asciiTheme="minorHAnsi" w:hAnsiTheme="minorHAnsi" w:cstheme="minorHAnsi"/>
          <w:sz w:val="24"/>
          <w:szCs w:val="24"/>
        </w:rPr>
        <w:t>non-cash compensat</w:t>
      </w:r>
      <w:r>
        <w:rPr>
          <w:rFonts w:asciiTheme="minorHAnsi" w:hAnsiTheme="minorHAnsi" w:cstheme="minorHAnsi"/>
          <w:sz w:val="24"/>
          <w:szCs w:val="24"/>
        </w:rPr>
        <w:t>i</w:t>
      </w:r>
      <w:r w:rsidR="002122DB">
        <w:rPr>
          <w:rFonts w:asciiTheme="minorHAnsi" w:hAnsiTheme="minorHAnsi" w:cstheme="minorHAnsi"/>
          <w:sz w:val="24"/>
          <w:szCs w:val="24"/>
        </w:rPr>
        <w:t>on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E494C">
        <w:rPr>
          <w:rFonts w:asciiTheme="minorHAnsi" w:hAnsiTheme="minorHAnsi" w:cstheme="minorHAnsi"/>
          <w:sz w:val="24"/>
          <w:szCs w:val="24"/>
        </w:rPr>
        <w:t>contribute</w:t>
      </w:r>
      <w:r w:rsidR="002122DB">
        <w:rPr>
          <w:rFonts w:asciiTheme="minorHAnsi" w:hAnsiTheme="minorHAnsi" w:cstheme="minorHAnsi"/>
          <w:sz w:val="24"/>
          <w:szCs w:val="24"/>
        </w:rPr>
        <w:t>s</w:t>
      </w:r>
      <w:r w:rsidR="00AE494C">
        <w:rPr>
          <w:rFonts w:asciiTheme="minorHAnsi" w:hAnsiTheme="minorHAnsi" w:cstheme="minorHAnsi"/>
          <w:sz w:val="24"/>
          <w:szCs w:val="24"/>
        </w:rPr>
        <w:t xml:space="preserve"> towards the annual earnings </w:t>
      </w:r>
      <w:r w:rsidR="00ED58A8">
        <w:rPr>
          <w:rFonts w:asciiTheme="minorHAnsi" w:hAnsiTheme="minorHAnsi" w:cstheme="minorHAnsi"/>
          <w:sz w:val="24"/>
          <w:szCs w:val="24"/>
        </w:rPr>
        <w:t xml:space="preserve">threshold and must be disclosed to the Plan.  </w:t>
      </w:r>
    </w:p>
    <w:p w14:paraId="1186B835" w14:textId="77777777" w:rsidR="00D3326C" w:rsidRDefault="00D3326C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br w:type="page"/>
      </w:r>
    </w:p>
    <w:p w14:paraId="4F73BED9" w14:textId="144FC41A" w:rsidR="00D3326C" w:rsidRPr="00D3326C" w:rsidRDefault="00AE494C" w:rsidP="00CD0737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Valuation of stock/options</w:t>
      </w:r>
    </w:p>
    <w:p w14:paraId="29A9FA04" w14:textId="7AFC55CE" w:rsidR="003F5CC2" w:rsidRPr="00D3326C" w:rsidRDefault="00FE1724" w:rsidP="00CD0737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D3326C">
        <w:rPr>
          <w:rFonts w:asciiTheme="minorHAnsi" w:hAnsiTheme="minorHAnsi" w:cstheme="minorHAnsi"/>
          <w:b/>
          <w:bCs/>
          <w:i/>
          <w:iCs/>
          <w:sz w:val="24"/>
          <w:szCs w:val="24"/>
        </w:rPr>
        <w:t>Publicly</w:t>
      </w:r>
      <w:r w:rsidR="00AE494C">
        <w:rPr>
          <w:rFonts w:asciiTheme="minorHAnsi" w:hAnsiTheme="minorHAnsi" w:cstheme="minorHAnsi"/>
          <w:b/>
          <w:bCs/>
          <w:i/>
          <w:iCs/>
          <w:sz w:val="24"/>
          <w:szCs w:val="24"/>
        </w:rPr>
        <w:t>-</w:t>
      </w:r>
      <w:r w:rsidRPr="00D3326C">
        <w:rPr>
          <w:rFonts w:asciiTheme="minorHAnsi" w:hAnsiTheme="minorHAnsi" w:cstheme="minorHAnsi"/>
          <w:b/>
          <w:bCs/>
          <w:i/>
          <w:iCs/>
          <w:sz w:val="24"/>
          <w:szCs w:val="24"/>
        </w:rPr>
        <w:t>T</w:t>
      </w:r>
      <w:r w:rsidR="003F5CC2" w:rsidRPr="00D3326C">
        <w:rPr>
          <w:rFonts w:asciiTheme="minorHAnsi" w:hAnsiTheme="minorHAnsi" w:cstheme="minorHAnsi"/>
          <w:b/>
          <w:bCs/>
          <w:i/>
          <w:iCs/>
          <w:sz w:val="24"/>
          <w:szCs w:val="24"/>
        </w:rPr>
        <w:t>raded Companies:</w:t>
      </w:r>
    </w:p>
    <w:p w14:paraId="1F42E854" w14:textId="3BF6622B" w:rsidR="00D3326C" w:rsidRDefault="00AE494C" w:rsidP="00D3326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Within 30 days of receipt of stock or stock options, t</w:t>
      </w:r>
      <w:r w:rsidR="00FE1724" w:rsidRPr="00ED58A8">
        <w:rPr>
          <w:rFonts w:asciiTheme="minorHAnsi" w:hAnsiTheme="minorHAnsi" w:cstheme="minorHAnsi"/>
          <w:sz w:val="24"/>
          <w:szCs w:val="24"/>
        </w:rPr>
        <w:t xml:space="preserve">he following information must be provided </w:t>
      </w:r>
      <w:r>
        <w:rPr>
          <w:rFonts w:asciiTheme="minorHAnsi" w:hAnsiTheme="minorHAnsi" w:cstheme="minorHAnsi"/>
          <w:sz w:val="24"/>
          <w:szCs w:val="24"/>
        </w:rPr>
        <w:t>to the Dean’s Office</w:t>
      </w:r>
      <w:r w:rsidR="00D3326C">
        <w:rPr>
          <w:rFonts w:asciiTheme="minorHAnsi" w:hAnsiTheme="minorHAnsi" w:cstheme="minorHAnsi"/>
          <w:sz w:val="24"/>
          <w:szCs w:val="24"/>
        </w:rPr>
        <w:t>:</w:t>
      </w:r>
      <w:r w:rsidR="00FE1724" w:rsidRPr="00ED58A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22B3498" w14:textId="09384F32" w:rsidR="00D3326C" w:rsidRDefault="003F5CC2" w:rsidP="00D3326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D3326C">
        <w:rPr>
          <w:rFonts w:asciiTheme="minorHAnsi" w:hAnsiTheme="minorHAnsi" w:cstheme="minorHAnsi"/>
          <w:sz w:val="24"/>
          <w:szCs w:val="24"/>
        </w:rPr>
        <w:t xml:space="preserve">A copy of all agreements </w:t>
      </w:r>
      <w:r w:rsidR="00AE494C">
        <w:rPr>
          <w:rFonts w:asciiTheme="minorHAnsi" w:hAnsiTheme="minorHAnsi" w:cstheme="minorHAnsi"/>
          <w:sz w:val="24"/>
          <w:szCs w:val="24"/>
        </w:rPr>
        <w:t xml:space="preserve">related to the outside work and compensation that were made </w:t>
      </w:r>
      <w:r w:rsidRPr="00D3326C">
        <w:rPr>
          <w:rFonts w:asciiTheme="minorHAnsi" w:hAnsiTheme="minorHAnsi" w:cstheme="minorHAnsi"/>
          <w:sz w:val="24"/>
          <w:szCs w:val="24"/>
        </w:rPr>
        <w:t xml:space="preserve">between the </w:t>
      </w:r>
      <w:r w:rsidR="00AE494C">
        <w:rPr>
          <w:rFonts w:asciiTheme="minorHAnsi" w:hAnsiTheme="minorHAnsi" w:cstheme="minorHAnsi"/>
          <w:sz w:val="24"/>
          <w:szCs w:val="24"/>
        </w:rPr>
        <w:t xml:space="preserve">Plan Participant </w:t>
      </w:r>
      <w:r w:rsidRPr="00D3326C">
        <w:rPr>
          <w:rFonts w:asciiTheme="minorHAnsi" w:hAnsiTheme="minorHAnsi" w:cstheme="minorHAnsi"/>
          <w:sz w:val="24"/>
          <w:szCs w:val="24"/>
        </w:rPr>
        <w:t>and the company;</w:t>
      </w:r>
      <w:r w:rsidR="00AE494C">
        <w:rPr>
          <w:rFonts w:asciiTheme="minorHAnsi" w:hAnsiTheme="minorHAnsi" w:cstheme="minorHAnsi"/>
          <w:sz w:val="24"/>
          <w:szCs w:val="24"/>
        </w:rPr>
        <w:t xml:space="preserve"> and</w:t>
      </w:r>
    </w:p>
    <w:p w14:paraId="45352B2F" w14:textId="30ECCD74" w:rsidR="003F5CC2" w:rsidRPr="00D3326C" w:rsidRDefault="003F5CC2" w:rsidP="00D3326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D3326C">
        <w:rPr>
          <w:rFonts w:asciiTheme="minorHAnsi" w:hAnsiTheme="minorHAnsi" w:cstheme="minorHAnsi"/>
          <w:sz w:val="24"/>
          <w:szCs w:val="24"/>
        </w:rPr>
        <w:t>A copy of the offer letter or other documentation that describes the number of s</w:t>
      </w:r>
      <w:r w:rsidR="006977D7" w:rsidRPr="00D3326C">
        <w:rPr>
          <w:rFonts w:asciiTheme="minorHAnsi" w:hAnsiTheme="minorHAnsi" w:cstheme="minorHAnsi"/>
          <w:sz w:val="24"/>
          <w:szCs w:val="24"/>
        </w:rPr>
        <w:t>hares of s</w:t>
      </w:r>
      <w:r w:rsidRPr="00D3326C">
        <w:rPr>
          <w:rFonts w:asciiTheme="minorHAnsi" w:hAnsiTheme="minorHAnsi" w:cstheme="minorHAnsi"/>
          <w:sz w:val="24"/>
          <w:szCs w:val="24"/>
        </w:rPr>
        <w:t xml:space="preserve">tock or options that </w:t>
      </w:r>
      <w:r w:rsidR="00AE494C">
        <w:rPr>
          <w:rFonts w:asciiTheme="minorHAnsi" w:hAnsiTheme="minorHAnsi" w:cstheme="minorHAnsi"/>
          <w:sz w:val="24"/>
          <w:szCs w:val="24"/>
        </w:rPr>
        <w:t xml:space="preserve">were </w:t>
      </w:r>
      <w:r w:rsidRPr="00D3326C">
        <w:rPr>
          <w:rFonts w:asciiTheme="minorHAnsi" w:hAnsiTheme="minorHAnsi" w:cstheme="minorHAnsi"/>
          <w:sz w:val="24"/>
          <w:szCs w:val="24"/>
        </w:rPr>
        <w:t>offered</w:t>
      </w:r>
      <w:r w:rsidR="00AE494C">
        <w:rPr>
          <w:rFonts w:asciiTheme="minorHAnsi" w:hAnsiTheme="minorHAnsi" w:cstheme="minorHAnsi"/>
          <w:sz w:val="24"/>
          <w:szCs w:val="24"/>
        </w:rPr>
        <w:t xml:space="preserve"> to the Plan Participant</w:t>
      </w:r>
      <w:r w:rsidRPr="00D3326C">
        <w:rPr>
          <w:rFonts w:asciiTheme="minorHAnsi" w:hAnsiTheme="minorHAnsi" w:cstheme="minorHAnsi"/>
          <w:sz w:val="24"/>
          <w:szCs w:val="24"/>
        </w:rPr>
        <w:t>. This</w:t>
      </w:r>
      <w:r w:rsidR="00AE494C">
        <w:rPr>
          <w:rFonts w:asciiTheme="minorHAnsi" w:hAnsiTheme="minorHAnsi" w:cstheme="minorHAnsi"/>
          <w:sz w:val="24"/>
          <w:szCs w:val="24"/>
        </w:rPr>
        <w:t xml:space="preserve"> letter or</w:t>
      </w:r>
      <w:r w:rsidRPr="00D3326C">
        <w:rPr>
          <w:rFonts w:asciiTheme="minorHAnsi" w:hAnsiTheme="minorHAnsi" w:cstheme="minorHAnsi"/>
          <w:sz w:val="24"/>
          <w:szCs w:val="24"/>
        </w:rPr>
        <w:t xml:space="preserve"> document should include the date(s) on which the </w:t>
      </w:r>
      <w:r w:rsidR="00AE494C">
        <w:rPr>
          <w:rFonts w:asciiTheme="minorHAnsi" w:hAnsiTheme="minorHAnsi" w:cstheme="minorHAnsi"/>
          <w:sz w:val="24"/>
          <w:szCs w:val="24"/>
        </w:rPr>
        <w:t xml:space="preserve">Plan Participant </w:t>
      </w:r>
      <w:r w:rsidRPr="00D3326C">
        <w:rPr>
          <w:rFonts w:asciiTheme="minorHAnsi" w:hAnsiTheme="minorHAnsi" w:cstheme="minorHAnsi"/>
          <w:sz w:val="24"/>
          <w:szCs w:val="24"/>
        </w:rPr>
        <w:t>signed  the stock or stock option offer(s</w:t>
      </w:r>
      <w:r w:rsidR="00AE494C">
        <w:rPr>
          <w:rFonts w:asciiTheme="minorHAnsi" w:hAnsiTheme="minorHAnsi" w:cstheme="minorHAnsi"/>
          <w:sz w:val="24"/>
          <w:szCs w:val="24"/>
        </w:rPr>
        <w:t>)</w:t>
      </w:r>
    </w:p>
    <w:p w14:paraId="23C68018" w14:textId="77777777" w:rsidR="001821D4" w:rsidRPr="00ED58A8" w:rsidRDefault="001821D4" w:rsidP="00CD0737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112CE047" w14:textId="77777777" w:rsidR="00650ADF" w:rsidRPr="00D3326C" w:rsidRDefault="00FE1724" w:rsidP="00CD0737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D3326C">
        <w:rPr>
          <w:rFonts w:asciiTheme="minorHAnsi" w:hAnsiTheme="minorHAnsi" w:cstheme="minorHAnsi"/>
          <w:b/>
          <w:bCs/>
          <w:i/>
          <w:iCs/>
          <w:sz w:val="24"/>
          <w:szCs w:val="24"/>
        </w:rPr>
        <w:t>N</w:t>
      </w:r>
      <w:r w:rsidR="00650ADF" w:rsidRPr="00D3326C">
        <w:rPr>
          <w:rFonts w:asciiTheme="minorHAnsi" w:hAnsiTheme="minorHAnsi" w:cstheme="minorHAnsi"/>
          <w:b/>
          <w:bCs/>
          <w:i/>
          <w:iCs/>
          <w:sz w:val="24"/>
          <w:szCs w:val="24"/>
        </w:rPr>
        <w:t>o</w:t>
      </w:r>
      <w:r w:rsidRPr="00D3326C">
        <w:rPr>
          <w:rFonts w:asciiTheme="minorHAnsi" w:hAnsiTheme="minorHAnsi" w:cstheme="minorHAnsi"/>
          <w:b/>
          <w:bCs/>
          <w:i/>
          <w:iCs/>
          <w:sz w:val="24"/>
          <w:szCs w:val="24"/>
        </w:rPr>
        <w:t>n-publicly T</w:t>
      </w:r>
      <w:r w:rsidR="00650ADF" w:rsidRPr="00D3326C">
        <w:rPr>
          <w:rFonts w:asciiTheme="minorHAnsi" w:hAnsiTheme="minorHAnsi" w:cstheme="minorHAnsi"/>
          <w:b/>
          <w:bCs/>
          <w:i/>
          <w:iCs/>
          <w:sz w:val="24"/>
          <w:szCs w:val="24"/>
        </w:rPr>
        <w:t>raded Companies:</w:t>
      </w:r>
    </w:p>
    <w:p w14:paraId="43996F3B" w14:textId="1880C28E" w:rsidR="00D3326C" w:rsidRDefault="00AE494C" w:rsidP="00D3326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Within 30 days of receipt of stock or stock options, t</w:t>
      </w:r>
      <w:r w:rsidR="00D3326C" w:rsidRPr="00ED58A8">
        <w:rPr>
          <w:rFonts w:asciiTheme="minorHAnsi" w:hAnsiTheme="minorHAnsi" w:cstheme="minorHAnsi"/>
          <w:sz w:val="24"/>
          <w:szCs w:val="24"/>
        </w:rPr>
        <w:t xml:space="preserve">he following information must be provided </w:t>
      </w:r>
      <w:r>
        <w:rPr>
          <w:rFonts w:asciiTheme="minorHAnsi" w:hAnsiTheme="minorHAnsi" w:cstheme="minorHAnsi"/>
          <w:sz w:val="24"/>
          <w:szCs w:val="24"/>
        </w:rPr>
        <w:t>to the Dean’s Office</w:t>
      </w:r>
      <w:r w:rsidR="00D3326C">
        <w:rPr>
          <w:rFonts w:asciiTheme="minorHAnsi" w:hAnsiTheme="minorHAnsi" w:cstheme="minorHAnsi"/>
          <w:sz w:val="24"/>
          <w:szCs w:val="24"/>
        </w:rPr>
        <w:t>:</w:t>
      </w:r>
      <w:r w:rsidR="00D3326C" w:rsidRPr="00ED58A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56C2759" w14:textId="0792B429" w:rsidR="00D3326C" w:rsidRDefault="00650ADF" w:rsidP="00D3326C">
      <w:pPr>
        <w:pStyle w:val="ListParagraph"/>
        <w:numPr>
          <w:ilvl w:val="0"/>
          <w:numId w:val="2"/>
        </w:numPr>
        <w:spacing w:after="0" w:line="240" w:lineRule="auto"/>
        <w:ind w:left="450" w:hanging="450"/>
        <w:rPr>
          <w:rFonts w:asciiTheme="minorHAnsi" w:hAnsiTheme="minorHAnsi" w:cstheme="minorHAnsi"/>
          <w:sz w:val="24"/>
          <w:szCs w:val="24"/>
        </w:rPr>
      </w:pPr>
      <w:r w:rsidRPr="00D3326C">
        <w:rPr>
          <w:rFonts w:asciiTheme="minorHAnsi" w:hAnsiTheme="minorHAnsi" w:cstheme="minorHAnsi"/>
          <w:sz w:val="24"/>
          <w:szCs w:val="24"/>
        </w:rPr>
        <w:t>A copy of all</w:t>
      </w:r>
      <w:r w:rsidR="00E10BA4" w:rsidRPr="00D3326C">
        <w:rPr>
          <w:rFonts w:asciiTheme="minorHAnsi" w:hAnsiTheme="minorHAnsi" w:cstheme="minorHAnsi"/>
          <w:sz w:val="24"/>
          <w:szCs w:val="24"/>
        </w:rPr>
        <w:t xml:space="preserve"> fully executed</w:t>
      </w:r>
      <w:r w:rsidRPr="00D3326C">
        <w:rPr>
          <w:rFonts w:asciiTheme="minorHAnsi" w:hAnsiTheme="minorHAnsi" w:cstheme="minorHAnsi"/>
          <w:sz w:val="24"/>
          <w:szCs w:val="24"/>
        </w:rPr>
        <w:t xml:space="preserve"> agreements </w:t>
      </w:r>
      <w:r w:rsidR="002324B6">
        <w:rPr>
          <w:rFonts w:asciiTheme="minorHAnsi" w:hAnsiTheme="minorHAnsi" w:cstheme="minorHAnsi"/>
          <w:sz w:val="24"/>
          <w:szCs w:val="24"/>
        </w:rPr>
        <w:t xml:space="preserve">related to the outside work and compensation that were made </w:t>
      </w:r>
      <w:r w:rsidRPr="00D3326C">
        <w:rPr>
          <w:rFonts w:asciiTheme="minorHAnsi" w:hAnsiTheme="minorHAnsi" w:cstheme="minorHAnsi"/>
          <w:sz w:val="24"/>
          <w:szCs w:val="24"/>
        </w:rPr>
        <w:t xml:space="preserve">between the </w:t>
      </w:r>
      <w:r w:rsidR="002324B6">
        <w:rPr>
          <w:rFonts w:asciiTheme="minorHAnsi" w:hAnsiTheme="minorHAnsi" w:cstheme="minorHAnsi"/>
          <w:sz w:val="24"/>
          <w:szCs w:val="24"/>
        </w:rPr>
        <w:t xml:space="preserve">Plan Participant </w:t>
      </w:r>
      <w:r w:rsidRPr="00D3326C">
        <w:rPr>
          <w:rFonts w:asciiTheme="minorHAnsi" w:hAnsiTheme="minorHAnsi" w:cstheme="minorHAnsi"/>
          <w:sz w:val="24"/>
          <w:szCs w:val="24"/>
        </w:rPr>
        <w:t>and the company</w:t>
      </w:r>
      <w:r w:rsidR="002324B6">
        <w:rPr>
          <w:rFonts w:asciiTheme="minorHAnsi" w:hAnsiTheme="minorHAnsi" w:cstheme="minorHAnsi"/>
          <w:sz w:val="24"/>
          <w:szCs w:val="24"/>
        </w:rPr>
        <w:t xml:space="preserve">; and </w:t>
      </w:r>
    </w:p>
    <w:p w14:paraId="0F223212" w14:textId="64086A45" w:rsidR="00D3326C" w:rsidRPr="00D3326C" w:rsidRDefault="00D3326C" w:rsidP="00D3326C">
      <w:pPr>
        <w:numPr>
          <w:ilvl w:val="0"/>
          <w:numId w:val="2"/>
        </w:numPr>
        <w:spacing w:after="0" w:line="240" w:lineRule="auto"/>
        <w:ind w:left="450" w:hanging="450"/>
        <w:rPr>
          <w:rFonts w:asciiTheme="minorHAnsi" w:hAnsiTheme="minorHAnsi" w:cstheme="minorHAnsi"/>
          <w:sz w:val="24"/>
          <w:szCs w:val="24"/>
        </w:rPr>
      </w:pPr>
      <w:r w:rsidRPr="00ED58A8">
        <w:rPr>
          <w:rFonts w:asciiTheme="minorHAnsi" w:hAnsiTheme="minorHAnsi" w:cstheme="minorHAnsi"/>
          <w:sz w:val="24"/>
          <w:szCs w:val="24"/>
        </w:rPr>
        <w:t xml:space="preserve">A copy of the offer letter or other documentation that describes the number of stocks or options that </w:t>
      </w:r>
      <w:r w:rsidR="002324B6">
        <w:rPr>
          <w:rFonts w:asciiTheme="minorHAnsi" w:hAnsiTheme="minorHAnsi" w:cstheme="minorHAnsi"/>
          <w:sz w:val="24"/>
          <w:szCs w:val="24"/>
        </w:rPr>
        <w:t xml:space="preserve">were </w:t>
      </w:r>
      <w:r w:rsidRPr="00ED58A8">
        <w:rPr>
          <w:rFonts w:asciiTheme="minorHAnsi" w:hAnsiTheme="minorHAnsi" w:cstheme="minorHAnsi"/>
          <w:sz w:val="24"/>
          <w:szCs w:val="24"/>
        </w:rPr>
        <w:t>offered</w:t>
      </w:r>
      <w:r w:rsidR="002324B6">
        <w:rPr>
          <w:rFonts w:asciiTheme="minorHAnsi" w:hAnsiTheme="minorHAnsi" w:cstheme="minorHAnsi"/>
          <w:sz w:val="24"/>
          <w:szCs w:val="24"/>
        </w:rPr>
        <w:t xml:space="preserve"> to the Plan Participant</w:t>
      </w:r>
      <w:r w:rsidRPr="00ED58A8">
        <w:rPr>
          <w:rFonts w:asciiTheme="minorHAnsi" w:hAnsiTheme="minorHAnsi" w:cstheme="minorHAnsi"/>
          <w:sz w:val="24"/>
          <w:szCs w:val="24"/>
        </w:rPr>
        <w:t xml:space="preserve">. This document should include the date(s) on which the </w:t>
      </w:r>
      <w:r w:rsidR="002324B6">
        <w:rPr>
          <w:rFonts w:asciiTheme="minorHAnsi" w:hAnsiTheme="minorHAnsi" w:cstheme="minorHAnsi"/>
          <w:sz w:val="24"/>
          <w:szCs w:val="24"/>
        </w:rPr>
        <w:t xml:space="preserve">Plan Participant </w:t>
      </w:r>
      <w:r w:rsidRPr="00ED58A8">
        <w:rPr>
          <w:rFonts w:asciiTheme="minorHAnsi" w:hAnsiTheme="minorHAnsi" w:cstheme="minorHAnsi"/>
          <w:sz w:val="24"/>
          <w:szCs w:val="24"/>
        </w:rPr>
        <w:t>signed the stock or stock option offer(s).</w:t>
      </w:r>
    </w:p>
    <w:p w14:paraId="6BB0A3E8" w14:textId="31E1CB8F" w:rsidR="00650ADF" w:rsidRDefault="00060ECF" w:rsidP="00D3326C">
      <w:pPr>
        <w:pStyle w:val="ListParagraph"/>
        <w:numPr>
          <w:ilvl w:val="0"/>
          <w:numId w:val="2"/>
        </w:numPr>
        <w:spacing w:line="240" w:lineRule="auto"/>
        <w:ind w:left="450" w:hanging="45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Information that allows the University to determine the value of non-cash compensation.  </w:t>
      </w:r>
      <w:r w:rsidR="002324B6">
        <w:rPr>
          <w:rFonts w:asciiTheme="minorHAnsi" w:hAnsiTheme="minorHAnsi" w:cstheme="minorHAnsi"/>
          <w:sz w:val="24"/>
          <w:szCs w:val="24"/>
        </w:rPr>
        <w:t xml:space="preserve">As </w:t>
      </w:r>
      <w:r>
        <w:rPr>
          <w:rFonts w:asciiTheme="minorHAnsi" w:hAnsiTheme="minorHAnsi" w:cstheme="minorHAnsi"/>
          <w:sz w:val="24"/>
          <w:szCs w:val="24"/>
        </w:rPr>
        <w:t>background information for the valuation</w:t>
      </w:r>
      <w:r w:rsidR="00CD0737" w:rsidRPr="00D3326C">
        <w:rPr>
          <w:rFonts w:asciiTheme="minorHAnsi" w:hAnsiTheme="minorHAnsi" w:cstheme="minorHAnsi"/>
          <w:sz w:val="24"/>
          <w:szCs w:val="24"/>
        </w:rPr>
        <w:t>, a</w:t>
      </w:r>
      <w:r w:rsidR="00650ADF" w:rsidRPr="00D3326C">
        <w:rPr>
          <w:rFonts w:asciiTheme="minorHAnsi" w:hAnsiTheme="minorHAnsi" w:cstheme="minorHAnsi"/>
          <w:sz w:val="24"/>
          <w:szCs w:val="24"/>
        </w:rPr>
        <w:t xml:space="preserve"> copy of any </w:t>
      </w:r>
      <w:r>
        <w:rPr>
          <w:rFonts w:asciiTheme="minorHAnsi" w:hAnsiTheme="minorHAnsi" w:cstheme="minorHAnsi"/>
          <w:sz w:val="24"/>
          <w:szCs w:val="24"/>
        </w:rPr>
        <w:t>documents</w:t>
      </w:r>
      <w:r w:rsidRPr="00D3326C">
        <w:rPr>
          <w:rFonts w:asciiTheme="minorHAnsi" w:hAnsiTheme="minorHAnsi" w:cstheme="minorHAnsi"/>
          <w:sz w:val="24"/>
          <w:szCs w:val="24"/>
        </w:rPr>
        <w:t xml:space="preserve"> </w:t>
      </w:r>
      <w:r w:rsidR="00650ADF" w:rsidRPr="00D3326C">
        <w:rPr>
          <w:rFonts w:asciiTheme="minorHAnsi" w:hAnsiTheme="minorHAnsi" w:cstheme="minorHAnsi"/>
          <w:sz w:val="24"/>
          <w:szCs w:val="24"/>
        </w:rPr>
        <w:t xml:space="preserve">the </w:t>
      </w:r>
      <w:r w:rsidR="002324B6">
        <w:rPr>
          <w:rFonts w:asciiTheme="minorHAnsi" w:hAnsiTheme="minorHAnsi" w:cstheme="minorHAnsi"/>
          <w:sz w:val="24"/>
          <w:szCs w:val="24"/>
        </w:rPr>
        <w:t xml:space="preserve">Plan Participant </w:t>
      </w:r>
      <w:r w:rsidR="00650ADF" w:rsidRPr="00D3326C">
        <w:rPr>
          <w:rFonts w:asciiTheme="minorHAnsi" w:hAnsiTheme="minorHAnsi" w:cstheme="minorHAnsi"/>
          <w:sz w:val="24"/>
          <w:szCs w:val="24"/>
        </w:rPr>
        <w:t xml:space="preserve">received from the company that </w:t>
      </w:r>
      <w:r>
        <w:rPr>
          <w:rFonts w:asciiTheme="minorHAnsi" w:hAnsiTheme="minorHAnsi" w:cstheme="minorHAnsi"/>
          <w:sz w:val="24"/>
          <w:szCs w:val="24"/>
        </w:rPr>
        <w:t xml:space="preserve">defines the </w:t>
      </w:r>
      <w:r w:rsidR="002324B6">
        <w:rPr>
          <w:rFonts w:asciiTheme="minorHAnsi" w:hAnsiTheme="minorHAnsi" w:cstheme="minorHAnsi"/>
          <w:sz w:val="24"/>
          <w:szCs w:val="24"/>
        </w:rPr>
        <w:t xml:space="preserve">value of the </w:t>
      </w:r>
      <w:r w:rsidR="00650ADF" w:rsidRPr="00D3326C">
        <w:rPr>
          <w:rFonts w:asciiTheme="minorHAnsi" w:hAnsiTheme="minorHAnsi" w:cstheme="minorHAnsi"/>
          <w:sz w:val="24"/>
          <w:szCs w:val="24"/>
        </w:rPr>
        <w:t xml:space="preserve">stock at the time </w:t>
      </w:r>
      <w:r>
        <w:rPr>
          <w:rFonts w:asciiTheme="minorHAnsi" w:hAnsiTheme="minorHAnsi" w:cstheme="minorHAnsi"/>
          <w:sz w:val="24"/>
          <w:szCs w:val="24"/>
        </w:rPr>
        <w:t xml:space="preserve">it was </w:t>
      </w:r>
      <w:r w:rsidR="00650ADF" w:rsidRPr="00D3326C">
        <w:rPr>
          <w:rFonts w:asciiTheme="minorHAnsi" w:hAnsiTheme="minorHAnsi" w:cstheme="minorHAnsi"/>
          <w:sz w:val="24"/>
          <w:szCs w:val="24"/>
        </w:rPr>
        <w:t xml:space="preserve">originally </w:t>
      </w:r>
      <w:r>
        <w:rPr>
          <w:rFonts w:asciiTheme="minorHAnsi" w:hAnsiTheme="minorHAnsi" w:cstheme="minorHAnsi"/>
          <w:sz w:val="24"/>
          <w:szCs w:val="24"/>
        </w:rPr>
        <w:t xml:space="preserve">offered must be provided.  For stock options, the documentation should include the purchase price for the </w:t>
      </w:r>
      <w:r w:rsidR="00650ADF" w:rsidRPr="00D3326C">
        <w:rPr>
          <w:rFonts w:asciiTheme="minorHAnsi" w:hAnsiTheme="minorHAnsi" w:cstheme="minorHAnsi"/>
          <w:sz w:val="24"/>
          <w:szCs w:val="24"/>
        </w:rPr>
        <w:t>options</w:t>
      </w:r>
      <w:r w:rsidR="00CD0737" w:rsidRPr="00D3326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and sufficient information to determine </w:t>
      </w:r>
      <w:r w:rsidR="007279BC">
        <w:rPr>
          <w:rFonts w:asciiTheme="minorHAnsi" w:hAnsiTheme="minorHAnsi" w:cstheme="minorHAnsi"/>
          <w:sz w:val="24"/>
          <w:szCs w:val="24"/>
        </w:rPr>
        <w:t xml:space="preserve">if </w:t>
      </w:r>
      <w:r>
        <w:rPr>
          <w:rFonts w:asciiTheme="minorHAnsi" w:hAnsiTheme="minorHAnsi" w:cstheme="minorHAnsi"/>
          <w:sz w:val="24"/>
          <w:szCs w:val="24"/>
        </w:rPr>
        <w:t xml:space="preserve">the offer price is equal to or below the </w:t>
      </w:r>
      <w:r w:rsidR="007279BC">
        <w:rPr>
          <w:rFonts w:asciiTheme="minorHAnsi" w:hAnsiTheme="minorHAnsi" w:cstheme="minorHAnsi"/>
          <w:sz w:val="24"/>
          <w:szCs w:val="24"/>
        </w:rPr>
        <w:t xml:space="preserve">market </w:t>
      </w:r>
      <w:r>
        <w:rPr>
          <w:rFonts w:asciiTheme="minorHAnsi" w:hAnsiTheme="minorHAnsi" w:cstheme="minorHAnsi"/>
          <w:sz w:val="24"/>
          <w:szCs w:val="24"/>
        </w:rPr>
        <w:t xml:space="preserve">value of the shares </w:t>
      </w:r>
      <w:r w:rsidR="002324B6">
        <w:rPr>
          <w:rFonts w:asciiTheme="minorHAnsi" w:hAnsiTheme="minorHAnsi" w:cstheme="minorHAnsi"/>
          <w:sz w:val="24"/>
          <w:szCs w:val="24"/>
        </w:rPr>
        <w:t xml:space="preserve">on the day </w:t>
      </w:r>
      <w:r>
        <w:rPr>
          <w:rFonts w:asciiTheme="minorHAnsi" w:hAnsiTheme="minorHAnsi" w:cstheme="minorHAnsi"/>
          <w:sz w:val="24"/>
          <w:szCs w:val="24"/>
        </w:rPr>
        <w:t xml:space="preserve">of the </w:t>
      </w:r>
      <w:r w:rsidR="007279BC">
        <w:rPr>
          <w:rFonts w:asciiTheme="minorHAnsi" w:hAnsiTheme="minorHAnsi" w:cstheme="minorHAnsi"/>
          <w:sz w:val="24"/>
          <w:szCs w:val="24"/>
        </w:rPr>
        <w:t>offer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  <w:r w:rsidR="00650ADF" w:rsidRPr="00D3326C">
        <w:rPr>
          <w:rFonts w:asciiTheme="minorHAnsi" w:hAnsiTheme="minorHAnsi" w:cstheme="minorHAnsi"/>
          <w:sz w:val="24"/>
          <w:szCs w:val="24"/>
        </w:rPr>
        <w:t>T</w:t>
      </w:r>
      <w:r w:rsidR="002324B6">
        <w:rPr>
          <w:rFonts w:asciiTheme="minorHAnsi" w:hAnsiTheme="minorHAnsi" w:cstheme="minorHAnsi"/>
          <w:sz w:val="24"/>
          <w:szCs w:val="24"/>
        </w:rPr>
        <w:t>ypically, t</w:t>
      </w:r>
      <w:r w:rsidR="00650ADF" w:rsidRPr="00D3326C">
        <w:rPr>
          <w:rFonts w:asciiTheme="minorHAnsi" w:hAnsiTheme="minorHAnsi" w:cstheme="minorHAnsi"/>
          <w:sz w:val="24"/>
          <w:szCs w:val="24"/>
        </w:rPr>
        <w:t>h</w:t>
      </w:r>
      <w:r>
        <w:rPr>
          <w:rFonts w:asciiTheme="minorHAnsi" w:hAnsiTheme="minorHAnsi" w:cstheme="minorHAnsi"/>
          <w:sz w:val="24"/>
          <w:szCs w:val="24"/>
        </w:rPr>
        <w:t xml:space="preserve">e </w:t>
      </w:r>
      <w:r w:rsidR="00650ADF" w:rsidRPr="00D3326C">
        <w:rPr>
          <w:rFonts w:asciiTheme="minorHAnsi" w:hAnsiTheme="minorHAnsi" w:cstheme="minorHAnsi"/>
          <w:sz w:val="24"/>
          <w:szCs w:val="24"/>
        </w:rPr>
        <w:t xml:space="preserve">information is </w:t>
      </w:r>
      <w:r w:rsidR="002324B6">
        <w:rPr>
          <w:rFonts w:asciiTheme="minorHAnsi" w:hAnsiTheme="minorHAnsi" w:cstheme="minorHAnsi"/>
          <w:sz w:val="24"/>
          <w:szCs w:val="24"/>
        </w:rPr>
        <w:t xml:space="preserve">documented </w:t>
      </w:r>
      <w:r w:rsidR="00650ADF" w:rsidRPr="00D3326C">
        <w:rPr>
          <w:rFonts w:asciiTheme="minorHAnsi" w:hAnsiTheme="minorHAnsi" w:cstheme="minorHAnsi"/>
          <w:sz w:val="24"/>
          <w:szCs w:val="24"/>
        </w:rPr>
        <w:t xml:space="preserve">in meeting minutes of the Board of Directors or in SEC filing papers. </w:t>
      </w:r>
      <w:r>
        <w:rPr>
          <w:rFonts w:asciiTheme="minorHAnsi" w:hAnsiTheme="minorHAnsi" w:cstheme="minorHAnsi"/>
          <w:sz w:val="24"/>
          <w:szCs w:val="24"/>
        </w:rPr>
        <w:t>A</w:t>
      </w:r>
      <w:r w:rsidR="00650ADF" w:rsidRPr="00D3326C">
        <w:rPr>
          <w:rFonts w:asciiTheme="minorHAnsi" w:hAnsiTheme="minorHAnsi" w:cstheme="minorHAnsi"/>
          <w:sz w:val="24"/>
          <w:szCs w:val="24"/>
        </w:rPr>
        <w:t xml:space="preserve"> company’s stock or stock options can also be valued by an outside attorney or accounting firm</w:t>
      </w:r>
      <w:r w:rsidR="00E10BA4" w:rsidRPr="00D3326C">
        <w:rPr>
          <w:rFonts w:asciiTheme="minorHAnsi" w:hAnsiTheme="minorHAnsi" w:cstheme="minorHAnsi"/>
          <w:sz w:val="24"/>
          <w:szCs w:val="24"/>
        </w:rPr>
        <w:t xml:space="preserve"> (e.g. 409a valuation report)</w:t>
      </w:r>
      <w:r w:rsidR="00650ADF" w:rsidRPr="00D3326C">
        <w:rPr>
          <w:rFonts w:asciiTheme="minorHAnsi" w:hAnsiTheme="minorHAnsi" w:cstheme="minorHAnsi"/>
          <w:sz w:val="24"/>
          <w:szCs w:val="24"/>
        </w:rPr>
        <w:t>.</w:t>
      </w:r>
      <w:r w:rsidR="00E10BA4" w:rsidRPr="00D3326C">
        <w:rPr>
          <w:rFonts w:asciiTheme="minorHAnsi" w:hAnsiTheme="minorHAnsi" w:cstheme="minorHAnsi"/>
          <w:sz w:val="24"/>
          <w:szCs w:val="24"/>
        </w:rPr>
        <w:t xml:space="preserve"> An 83b election form </w:t>
      </w:r>
      <w:r w:rsidR="002324B6">
        <w:rPr>
          <w:rFonts w:asciiTheme="minorHAnsi" w:hAnsiTheme="minorHAnsi" w:cstheme="minorHAnsi"/>
          <w:sz w:val="24"/>
          <w:szCs w:val="24"/>
        </w:rPr>
        <w:t xml:space="preserve">may </w:t>
      </w:r>
      <w:r w:rsidR="00E10BA4" w:rsidRPr="00D3326C">
        <w:rPr>
          <w:rFonts w:asciiTheme="minorHAnsi" w:hAnsiTheme="minorHAnsi" w:cstheme="minorHAnsi"/>
          <w:sz w:val="24"/>
          <w:szCs w:val="24"/>
        </w:rPr>
        <w:t>also be used, if available.</w:t>
      </w:r>
    </w:p>
    <w:p w14:paraId="1C251A81" w14:textId="6A749070" w:rsidR="00060ECF" w:rsidRPr="00D3326C" w:rsidRDefault="00060ECF" w:rsidP="00D3326C">
      <w:pPr>
        <w:pStyle w:val="ListParagraph"/>
        <w:numPr>
          <w:ilvl w:val="0"/>
          <w:numId w:val="2"/>
        </w:numPr>
        <w:spacing w:line="240" w:lineRule="auto"/>
        <w:ind w:left="450" w:hanging="45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information required for valuation is required</w:t>
      </w:r>
      <w:r w:rsidR="002324B6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independent of vesting periods for purchase of shares of stock.</w:t>
      </w:r>
    </w:p>
    <w:p w14:paraId="2608B0D4" w14:textId="77777777" w:rsidR="00650ADF" w:rsidRPr="00ED58A8" w:rsidRDefault="00650ADF" w:rsidP="00CD0737">
      <w:pPr>
        <w:rPr>
          <w:rFonts w:asciiTheme="minorHAnsi" w:hAnsiTheme="minorHAnsi" w:cstheme="minorHAnsi"/>
          <w:sz w:val="24"/>
          <w:szCs w:val="24"/>
        </w:rPr>
      </w:pPr>
    </w:p>
    <w:p w14:paraId="36746EC9" w14:textId="2012FC5F" w:rsidR="0001252D" w:rsidRPr="00ED58A8" w:rsidRDefault="002324B6" w:rsidP="00CD0737">
      <w:pPr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To initiate the valuation process, complete the table below and submit all appropriate documents </w:t>
      </w:r>
      <w:r w:rsidR="001821D4" w:rsidRPr="00ED58A8">
        <w:rPr>
          <w:rFonts w:asciiTheme="minorHAnsi" w:hAnsiTheme="minorHAnsi" w:cstheme="minorHAnsi"/>
          <w:b/>
          <w:i/>
          <w:sz w:val="24"/>
          <w:szCs w:val="24"/>
        </w:rPr>
        <w:t xml:space="preserve">to </w:t>
      </w:r>
      <w:hyperlink r:id="rId5" w:history="1">
        <w:r w:rsidR="001821D4" w:rsidRPr="00ED58A8">
          <w:rPr>
            <w:rStyle w:val="Hyperlink"/>
            <w:rFonts w:asciiTheme="minorHAnsi" w:hAnsiTheme="minorHAnsi" w:cstheme="minorHAnsi"/>
            <w:b/>
            <w:i/>
            <w:sz w:val="24"/>
            <w:szCs w:val="24"/>
          </w:rPr>
          <w:t>SOMStockDisclosure@ucsf.edu</w:t>
        </w:r>
      </w:hyperlink>
      <w:r w:rsidR="001821D4" w:rsidRPr="00ED58A8">
        <w:rPr>
          <w:rFonts w:asciiTheme="minorHAnsi" w:hAnsiTheme="minorHAnsi" w:cstheme="minorHAnsi"/>
          <w:b/>
          <w:i/>
          <w:sz w:val="24"/>
          <w:szCs w:val="24"/>
        </w:rPr>
        <w:t>.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2"/>
        <w:gridCol w:w="4988"/>
      </w:tblGrid>
      <w:tr w:rsidR="00E10BA4" w:rsidRPr="00ED58A8" w14:paraId="090F2DDF" w14:textId="77777777" w:rsidTr="001E2A93">
        <w:trPr>
          <w:trHeight w:val="377"/>
        </w:trPr>
        <w:tc>
          <w:tcPr>
            <w:tcW w:w="4252" w:type="dxa"/>
            <w:shd w:val="clear" w:color="auto" w:fill="AEAAAA" w:themeFill="background2" w:themeFillShade="BF"/>
            <w:vAlign w:val="center"/>
          </w:tcPr>
          <w:p w14:paraId="74FA0717" w14:textId="77777777" w:rsidR="00E10BA4" w:rsidRPr="00ED58A8" w:rsidRDefault="00E10BA4" w:rsidP="001821D4">
            <w:pPr>
              <w:ind w:left="4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D58A8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Stock</w:t>
            </w:r>
          </w:p>
        </w:tc>
        <w:tc>
          <w:tcPr>
            <w:tcW w:w="4988" w:type="dxa"/>
            <w:shd w:val="clear" w:color="auto" w:fill="AEAAAA" w:themeFill="background2" w:themeFillShade="BF"/>
            <w:vAlign w:val="center"/>
          </w:tcPr>
          <w:p w14:paraId="36EEFA90" w14:textId="77777777" w:rsidR="00E10BA4" w:rsidRPr="00ED58A8" w:rsidRDefault="00E10BA4" w:rsidP="001821D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10BA4" w:rsidRPr="00ED58A8" w14:paraId="7D0082E2" w14:textId="77777777" w:rsidTr="001E2A93">
        <w:trPr>
          <w:trHeight w:val="305"/>
        </w:trPr>
        <w:tc>
          <w:tcPr>
            <w:tcW w:w="4252" w:type="dxa"/>
            <w:vAlign w:val="center"/>
          </w:tcPr>
          <w:p w14:paraId="265F8966" w14:textId="77777777" w:rsidR="00E10BA4" w:rsidRPr="00ED58A8" w:rsidRDefault="00E10BA4" w:rsidP="001821D4">
            <w:pPr>
              <w:ind w:left="4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D58A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Number of shares granted:</w:t>
            </w:r>
            <w:r w:rsidRPr="00ED58A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88" w:type="dxa"/>
            <w:vAlign w:val="center"/>
          </w:tcPr>
          <w:p w14:paraId="3A26C92C" w14:textId="77777777" w:rsidR="00E10BA4" w:rsidRPr="00ED58A8" w:rsidRDefault="00E10BA4" w:rsidP="001821D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10BA4" w:rsidRPr="00ED58A8" w14:paraId="0AEEB63E" w14:textId="77777777" w:rsidTr="001E2A93">
        <w:trPr>
          <w:trHeight w:val="70"/>
        </w:trPr>
        <w:tc>
          <w:tcPr>
            <w:tcW w:w="4252" w:type="dxa"/>
            <w:vAlign w:val="center"/>
          </w:tcPr>
          <w:p w14:paraId="17AA1981" w14:textId="1925B91A" w:rsidR="00E10BA4" w:rsidRPr="00ED58A8" w:rsidRDefault="002324B6" w:rsidP="001821D4">
            <w:pPr>
              <w:ind w:left="4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</w:t>
            </w:r>
            <w:r w:rsidR="00E10BA4" w:rsidRPr="00ED58A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arket value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on ________ (date)</w:t>
            </w:r>
          </w:p>
        </w:tc>
        <w:tc>
          <w:tcPr>
            <w:tcW w:w="4988" w:type="dxa"/>
            <w:vAlign w:val="center"/>
          </w:tcPr>
          <w:p w14:paraId="73A13803" w14:textId="77777777" w:rsidR="00E10BA4" w:rsidRPr="00ED58A8" w:rsidRDefault="00E10BA4" w:rsidP="001821D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10BA4" w:rsidRPr="00ED58A8" w14:paraId="6C4396DE" w14:textId="77777777" w:rsidTr="001E2A93">
        <w:trPr>
          <w:trHeight w:val="70"/>
        </w:trPr>
        <w:tc>
          <w:tcPr>
            <w:tcW w:w="4252" w:type="dxa"/>
            <w:vAlign w:val="center"/>
          </w:tcPr>
          <w:p w14:paraId="02D2126A" w14:textId="77777777" w:rsidR="00E10BA4" w:rsidRPr="00ED58A8" w:rsidRDefault="00E10BA4" w:rsidP="001821D4">
            <w:pPr>
              <w:ind w:left="4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D58A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 received:</w:t>
            </w:r>
            <w:r w:rsidRPr="00ED58A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88" w:type="dxa"/>
            <w:vAlign w:val="center"/>
          </w:tcPr>
          <w:p w14:paraId="50190E3A" w14:textId="77777777" w:rsidR="00E10BA4" w:rsidRPr="00ED58A8" w:rsidRDefault="00E10BA4" w:rsidP="001821D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10BA4" w:rsidRPr="00ED58A8" w14:paraId="59C2495C" w14:textId="77777777" w:rsidTr="001E2A93">
        <w:trPr>
          <w:trHeight w:val="152"/>
        </w:trPr>
        <w:tc>
          <w:tcPr>
            <w:tcW w:w="4252" w:type="dxa"/>
            <w:shd w:val="clear" w:color="auto" w:fill="AEAAAA" w:themeFill="background2" w:themeFillShade="BF"/>
            <w:vAlign w:val="center"/>
          </w:tcPr>
          <w:p w14:paraId="77FFC4A5" w14:textId="2BBD091F" w:rsidR="00E10BA4" w:rsidRPr="00ED58A8" w:rsidRDefault="00E10BA4" w:rsidP="00710F73">
            <w:pPr>
              <w:ind w:left="4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D58A8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Stock options</w:t>
            </w:r>
            <w:r w:rsidR="00710F73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/Founder’s stock</w:t>
            </w:r>
          </w:p>
        </w:tc>
        <w:tc>
          <w:tcPr>
            <w:tcW w:w="4988" w:type="dxa"/>
            <w:shd w:val="clear" w:color="auto" w:fill="AEAAAA" w:themeFill="background2" w:themeFillShade="BF"/>
            <w:vAlign w:val="center"/>
          </w:tcPr>
          <w:p w14:paraId="2A27F3D7" w14:textId="77777777" w:rsidR="00E10BA4" w:rsidRPr="00ED58A8" w:rsidRDefault="00E10BA4" w:rsidP="001821D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324B6" w:rsidRPr="00ED58A8" w14:paraId="19C47983" w14:textId="77777777" w:rsidTr="001E2A93">
        <w:trPr>
          <w:trHeight w:val="350"/>
        </w:trPr>
        <w:tc>
          <w:tcPr>
            <w:tcW w:w="4252" w:type="dxa"/>
            <w:vAlign w:val="center"/>
          </w:tcPr>
          <w:p w14:paraId="6B00A91D" w14:textId="4F0A0D14" w:rsidR="002324B6" w:rsidRPr="00ED58A8" w:rsidRDefault="002324B6" w:rsidP="002324B6">
            <w:pPr>
              <w:ind w:left="4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D58A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Type of Option:</w:t>
            </w:r>
          </w:p>
        </w:tc>
        <w:tc>
          <w:tcPr>
            <w:tcW w:w="4988" w:type="dxa"/>
            <w:vAlign w:val="center"/>
          </w:tcPr>
          <w:p w14:paraId="1364B6C6" w14:textId="4FA4AAD5" w:rsidR="002324B6" w:rsidRPr="00ED58A8" w:rsidRDefault="002324B6" w:rsidP="002324B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D58A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[</w:t>
            </w:r>
            <w:r w:rsidRPr="00ED58A8">
              <w:rPr>
                <w:rFonts w:asciiTheme="minorHAnsi" w:hAnsiTheme="minorHAnsi" w:cstheme="minorHAnsi"/>
                <w:sz w:val="24"/>
                <w:szCs w:val="24"/>
              </w:rPr>
              <w:t>non-statutory] (most likely)</w:t>
            </w:r>
          </w:p>
        </w:tc>
      </w:tr>
      <w:tr w:rsidR="002324B6" w:rsidRPr="00ED58A8" w14:paraId="5F75B504" w14:textId="77777777" w:rsidTr="001E2A93">
        <w:trPr>
          <w:trHeight w:val="350"/>
        </w:trPr>
        <w:tc>
          <w:tcPr>
            <w:tcW w:w="4252" w:type="dxa"/>
            <w:vAlign w:val="center"/>
          </w:tcPr>
          <w:p w14:paraId="6729911D" w14:textId="244A7AAC" w:rsidR="002324B6" w:rsidRPr="00ED58A8" w:rsidRDefault="002324B6" w:rsidP="002324B6">
            <w:pPr>
              <w:ind w:left="4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Number of options:</w:t>
            </w:r>
          </w:p>
        </w:tc>
        <w:tc>
          <w:tcPr>
            <w:tcW w:w="4988" w:type="dxa"/>
            <w:vAlign w:val="center"/>
          </w:tcPr>
          <w:p w14:paraId="40B0F361" w14:textId="77777777" w:rsidR="002324B6" w:rsidRPr="00ED58A8" w:rsidRDefault="002324B6" w:rsidP="002324B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324B6" w:rsidRPr="00ED58A8" w14:paraId="04432E40" w14:textId="77777777" w:rsidTr="001E2A93">
        <w:trPr>
          <w:trHeight w:val="350"/>
        </w:trPr>
        <w:tc>
          <w:tcPr>
            <w:tcW w:w="4252" w:type="dxa"/>
            <w:vAlign w:val="center"/>
          </w:tcPr>
          <w:p w14:paraId="7B9729C5" w14:textId="17D03D8B" w:rsidR="002324B6" w:rsidRPr="00ED58A8" w:rsidRDefault="002324B6" w:rsidP="002324B6">
            <w:pPr>
              <w:ind w:left="4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</w:t>
            </w:r>
            <w:r w:rsidRPr="00ED58A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arket value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on __________ (date)</w:t>
            </w:r>
          </w:p>
        </w:tc>
        <w:tc>
          <w:tcPr>
            <w:tcW w:w="4988" w:type="dxa"/>
            <w:vAlign w:val="center"/>
          </w:tcPr>
          <w:p w14:paraId="712A7123" w14:textId="77777777" w:rsidR="002324B6" w:rsidRPr="00ED58A8" w:rsidRDefault="002324B6" w:rsidP="002324B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324B6" w:rsidRPr="00ED58A8" w14:paraId="34BBF070" w14:textId="77777777" w:rsidTr="001E2A93">
        <w:trPr>
          <w:trHeight w:val="197"/>
        </w:trPr>
        <w:tc>
          <w:tcPr>
            <w:tcW w:w="4252" w:type="dxa"/>
            <w:vAlign w:val="center"/>
          </w:tcPr>
          <w:p w14:paraId="6E9D66FE" w14:textId="77777777" w:rsidR="002324B6" w:rsidRPr="00ED58A8" w:rsidRDefault="002324B6" w:rsidP="002324B6">
            <w:pPr>
              <w:ind w:left="4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D58A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 received:</w:t>
            </w:r>
          </w:p>
        </w:tc>
        <w:tc>
          <w:tcPr>
            <w:tcW w:w="4988" w:type="dxa"/>
            <w:vAlign w:val="center"/>
          </w:tcPr>
          <w:p w14:paraId="27850274" w14:textId="77777777" w:rsidR="002324B6" w:rsidRPr="00ED58A8" w:rsidRDefault="002324B6" w:rsidP="002324B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324B6" w:rsidRPr="00ED58A8" w14:paraId="43D6F27F" w14:textId="77777777" w:rsidTr="001E2A93">
        <w:trPr>
          <w:trHeight w:val="305"/>
        </w:trPr>
        <w:tc>
          <w:tcPr>
            <w:tcW w:w="4252" w:type="dxa"/>
            <w:vAlign w:val="center"/>
          </w:tcPr>
          <w:p w14:paraId="2903B96D" w14:textId="4062FA2C" w:rsidR="002324B6" w:rsidRPr="00ED58A8" w:rsidRDefault="002324B6" w:rsidP="002324B6">
            <w:pPr>
              <w:ind w:left="4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D58A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Exercise price per share:</w:t>
            </w:r>
          </w:p>
        </w:tc>
        <w:tc>
          <w:tcPr>
            <w:tcW w:w="4988" w:type="dxa"/>
            <w:vAlign w:val="center"/>
          </w:tcPr>
          <w:p w14:paraId="0EED620B" w14:textId="7446D726" w:rsidR="002324B6" w:rsidRPr="00ED58A8" w:rsidRDefault="002324B6" w:rsidP="002324B6">
            <w:pPr>
              <w:ind w:left="4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324B6" w:rsidRPr="00ED58A8" w14:paraId="45717254" w14:textId="77777777" w:rsidTr="001E2A93">
        <w:trPr>
          <w:trHeight w:val="233"/>
        </w:trPr>
        <w:tc>
          <w:tcPr>
            <w:tcW w:w="4252" w:type="dxa"/>
            <w:vAlign w:val="center"/>
          </w:tcPr>
          <w:p w14:paraId="2821DC50" w14:textId="77777777" w:rsidR="002324B6" w:rsidRPr="00ED58A8" w:rsidRDefault="002324B6" w:rsidP="002324B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58A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Vesting Schedule:</w:t>
            </w:r>
            <w:r w:rsidRPr="00ED58A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88" w:type="dxa"/>
            <w:vAlign w:val="center"/>
          </w:tcPr>
          <w:p w14:paraId="360DAB4D" w14:textId="77777777" w:rsidR="002324B6" w:rsidRPr="00ED58A8" w:rsidRDefault="002324B6" w:rsidP="002324B6">
            <w:pPr>
              <w:ind w:left="4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0E34D23E" w14:textId="1E817563" w:rsidR="001821D4" w:rsidRPr="00ED58A8" w:rsidRDefault="001821D4" w:rsidP="00CD0737">
      <w:pPr>
        <w:rPr>
          <w:rFonts w:asciiTheme="minorHAnsi" w:hAnsiTheme="minorHAnsi" w:cstheme="minorHAnsi"/>
          <w:sz w:val="24"/>
          <w:szCs w:val="24"/>
        </w:rPr>
      </w:pPr>
    </w:p>
    <w:sectPr w:rsidR="001821D4" w:rsidRPr="00ED5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5E236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841F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5BE04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10E8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1C034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48CC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4AED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ACB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BA9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E032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C31B16"/>
    <w:multiLevelType w:val="hybridMultilevel"/>
    <w:tmpl w:val="A5E6EE42"/>
    <w:lvl w:ilvl="0" w:tplc="91723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E0305"/>
    <w:multiLevelType w:val="hybridMultilevel"/>
    <w:tmpl w:val="53CC35AE"/>
    <w:lvl w:ilvl="0" w:tplc="E63078D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D62E6"/>
    <w:multiLevelType w:val="hybridMultilevel"/>
    <w:tmpl w:val="DD489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F0E72"/>
    <w:multiLevelType w:val="hybridMultilevel"/>
    <w:tmpl w:val="CFB8624E"/>
    <w:lvl w:ilvl="0" w:tplc="91723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A186F"/>
    <w:multiLevelType w:val="hybridMultilevel"/>
    <w:tmpl w:val="2064214E"/>
    <w:lvl w:ilvl="0" w:tplc="3F18CC0A">
      <w:start w:val="4"/>
      <w:numFmt w:val="decimal"/>
      <w:lvlText w:val="%1."/>
      <w:lvlJc w:val="left"/>
      <w:pPr>
        <w:tabs>
          <w:tab w:val="num" w:pos="915"/>
        </w:tabs>
        <w:ind w:left="915" w:hanging="55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ADF"/>
    <w:rsid w:val="0001252D"/>
    <w:rsid w:val="00060ECF"/>
    <w:rsid w:val="0007192B"/>
    <w:rsid w:val="001821D4"/>
    <w:rsid w:val="001E2A93"/>
    <w:rsid w:val="002122DB"/>
    <w:rsid w:val="002324B6"/>
    <w:rsid w:val="0025594D"/>
    <w:rsid w:val="002D63A3"/>
    <w:rsid w:val="00326696"/>
    <w:rsid w:val="00330AAA"/>
    <w:rsid w:val="003F5CC2"/>
    <w:rsid w:val="00485176"/>
    <w:rsid w:val="00525202"/>
    <w:rsid w:val="00650ADF"/>
    <w:rsid w:val="006977D7"/>
    <w:rsid w:val="006B5166"/>
    <w:rsid w:val="00710F73"/>
    <w:rsid w:val="007235B2"/>
    <w:rsid w:val="007279BC"/>
    <w:rsid w:val="007A3858"/>
    <w:rsid w:val="007D54A9"/>
    <w:rsid w:val="00827370"/>
    <w:rsid w:val="00897719"/>
    <w:rsid w:val="008A43B4"/>
    <w:rsid w:val="008D2005"/>
    <w:rsid w:val="009169A1"/>
    <w:rsid w:val="0094548C"/>
    <w:rsid w:val="009732C6"/>
    <w:rsid w:val="009D3EBC"/>
    <w:rsid w:val="009F0B9B"/>
    <w:rsid w:val="00A725E8"/>
    <w:rsid w:val="00AB12E5"/>
    <w:rsid w:val="00AE494C"/>
    <w:rsid w:val="00B64A6F"/>
    <w:rsid w:val="00C21869"/>
    <w:rsid w:val="00C512EE"/>
    <w:rsid w:val="00C56E49"/>
    <w:rsid w:val="00CD0737"/>
    <w:rsid w:val="00CE7136"/>
    <w:rsid w:val="00D027A4"/>
    <w:rsid w:val="00D3326C"/>
    <w:rsid w:val="00DC573D"/>
    <w:rsid w:val="00DE13AE"/>
    <w:rsid w:val="00E10BA4"/>
    <w:rsid w:val="00E1534D"/>
    <w:rsid w:val="00ED58A8"/>
    <w:rsid w:val="00F929A0"/>
    <w:rsid w:val="00FE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8B556"/>
  <w15:chartTrackingRefBased/>
  <w15:docId w15:val="{53CD5875-ECCF-4A96-A08E-B82FCA21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D07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821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32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F7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12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2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2E5"/>
    <w:rPr>
      <w:b/>
      <w:bCs/>
    </w:rPr>
  </w:style>
  <w:style w:type="character" w:customStyle="1" w:styleId="markedcontent">
    <w:name w:val="markedcontent"/>
    <w:basedOn w:val="DefaultParagraphFont"/>
    <w:rsid w:val="00723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MStockDisclosure@ucsf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Stock Options – Reporting Of</vt:lpstr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 Options – Reporting Of</dc:title>
  <dc:subject/>
  <dc:creator>Schreiber, Jenny</dc:creator>
  <cp:keywords/>
  <cp:lastModifiedBy>Fuentes-Afflick, Elena</cp:lastModifiedBy>
  <cp:revision>5</cp:revision>
  <dcterms:created xsi:type="dcterms:W3CDTF">2021-12-02T00:17:00Z</dcterms:created>
  <dcterms:modified xsi:type="dcterms:W3CDTF">2021-12-02T00:19:00Z</dcterms:modified>
</cp:coreProperties>
</file>